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0072361E" w:rsidDel="00DC1B56">
        <w:rPr>
          <w:rFonts w:ascii="Verdana" w:eastAsia="Times New Roman" w:hAnsi="Verdana" w:cs="Arial"/>
          <w:bCs/>
          <w:color w:val="002060"/>
          <w:sz w:val="28"/>
          <w:szCs w:val="28"/>
          <w:lang w:val="en-GB"/>
        </w:rPr>
        <w:t>Learning</w:t>
      </w:r>
      <w:r w:rsidRPr="305EAB8B" w:rsidDel="00DC1B56">
        <w:rPr>
          <w:rFonts w:ascii="Verdana" w:eastAsia="Times New Roman" w:hAnsi="Verdana" w:cs="Arial"/>
          <w:b/>
          <w:bCs/>
          <w:color w:val="002060"/>
          <w:sz w:val="28"/>
          <w:szCs w:val="28"/>
          <w:lang w:val="en-GB"/>
        </w:rPr>
        <w:t xml:space="preserve">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72361E">
      <w:pPr>
        <w:spacing w:after="24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2C40B108" w:rsidR="00481298" w:rsidRPr="0072361E" w:rsidRDefault="0072361E" w:rsidP="0072361E">
      <w:pPr>
        <w:spacing w:before="120" w:after="120" w:line="240" w:lineRule="auto"/>
        <w:ind w:right="28"/>
        <w:jc w:val="both"/>
        <w:rPr>
          <w:b/>
          <w:lang w:val="en-GB"/>
        </w:rPr>
      </w:pPr>
      <w:r w:rsidRPr="0072361E">
        <w:rPr>
          <w:b/>
          <w:color w:val="FFFFFF" w:themeColor="background1"/>
          <w:highlight w:val="darkBlue"/>
          <w:lang w:val="en-GB"/>
        </w:rPr>
        <w:t xml:space="preserve">IMPORTANT INFORMATION: For the Erasmus+ 2021-2027 programme, Learning Agreements must be managed online. Higher Education Institutions can do this by using the </w:t>
      </w:r>
      <w:hyperlink r:id="rId8" w:history="1">
        <w:r w:rsidRPr="0072361E">
          <w:rPr>
            <w:rStyle w:val="Hiperhivatkozs"/>
            <w:b/>
            <w:highlight w:val="darkBlue"/>
            <w:lang w:val="en-GB"/>
          </w:rPr>
          <w:t>Online Learning Agreement platform</w:t>
        </w:r>
      </w:hyperlink>
      <w:r w:rsidRPr="0072361E">
        <w:rPr>
          <w:b/>
          <w:highlight w:val="darkBlue"/>
          <w:lang w:val="en-GB"/>
        </w:rPr>
        <w:t xml:space="preserve"> </w:t>
      </w:r>
      <w:r w:rsidRPr="0072361E">
        <w:rPr>
          <w:b/>
          <w:color w:val="FFFFFF" w:themeColor="background1"/>
          <w:highlight w:val="darkBlue"/>
          <w:lang w:val="en-GB"/>
        </w:rPr>
        <w:t>or an equivalent system connected to the Erasmus Without Paper Network. Therefore, this template is provided by the European Commission  for information purposes only and must not be used to manage Learning Agreements for studies. Please visit the Erasmus Without Paper Competence Centre for a more detailed data standard, to which all equivalent systems need to adhere. For further guidance on how to manage Online Learning Agreements – Please read the</w:t>
      </w:r>
      <w:r w:rsidRPr="0072361E">
        <w:rPr>
          <w:b/>
          <w:highlight w:val="darkBlue"/>
          <w:lang w:val="en-GB"/>
        </w:rPr>
        <w:t xml:space="preserve"> </w:t>
      </w:r>
      <w:hyperlink r:id="rId9" w:history="1">
        <w:r w:rsidRPr="0072361E">
          <w:rPr>
            <w:rStyle w:val="Hiperhivatkozs"/>
            <w:b/>
            <w:highlight w:val="darkBlue"/>
            <w:lang w:val="en-GB"/>
          </w:rPr>
          <w:t>Guidelines on how to use the Learning Agreement for studies</w:t>
        </w:r>
      </w:hyperlink>
      <w:r w:rsidRPr="0072361E">
        <w:rPr>
          <w:b/>
          <w:color w:val="FFFFFF" w:themeColor="background1"/>
          <w:highlight w:val="darkBlue"/>
          <w:lang w:val="en-GB"/>
        </w:rPr>
        <w:t>.</w:t>
      </w:r>
    </w:p>
    <w:p w14:paraId="48D43D0C" w14:textId="77777777" w:rsidR="0072361E" w:rsidRPr="0072361E" w:rsidRDefault="0072361E" w:rsidP="0072361E">
      <w:pPr>
        <w:spacing w:before="120" w:after="120" w:line="240" w:lineRule="auto"/>
        <w:ind w:right="28"/>
        <w:jc w:val="both"/>
        <w:rPr>
          <w:rFonts w:ascii="Verdana" w:eastAsia="Times New Roman" w:hAnsi="Verdana" w:cs="Arial"/>
          <w:b/>
          <w:sz w:val="8"/>
          <w:szCs w:val="8"/>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Rcsostblzat"/>
        <w:tblW w:w="11199" w:type="dxa"/>
        <w:tblInd w:w="-318" w:type="dxa"/>
        <w:tblLook w:val="04A0" w:firstRow="1" w:lastRow="0" w:firstColumn="1" w:lastColumn="0" w:noHBand="0" w:noVBand="1"/>
      </w:tblPr>
      <w:tblGrid>
        <w:gridCol w:w="1547"/>
        <w:gridCol w:w="1743"/>
        <w:gridCol w:w="1247"/>
        <w:gridCol w:w="532"/>
        <w:gridCol w:w="1251"/>
        <w:gridCol w:w="1619"/>
        <w:gridCol w:w="669"/>
        <w:gridCol w:w="2591"/>
      </w:tblGrid>
      <w:tr w:rsidR="00481298" w14:paraId="38B09BBF" w14:textId="77777777" w:rsidTr="002C5C67">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4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4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2C5C67">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743" w:type="dxa"/>
          </w:tcPr>
          <w:p w14:paraId="28160EB2" w14:textId="77777777" w:rsidR="00481298" w:rsidRPr="002C5C67" w:rsidRDefault="00481298" w:rsidP="008C6E35">
            <w:pPr>
              <w:spacing w:after="120" w:line="240" w:lineRule="auto"/>
              <w:ind w:right="28"/>
              <w:jc w:val="center"/>
              <w:rPr>
                <w:rFonts w:eastAsia="Times New Roman" w:cstheme="minorHAnsi"/>
                <w:b/>
                <w:color w:val="002060"/>
                <w:sz w:val="18"/>
                <w:szCs w:val="18"/>
                <w:lang w:val="en-GB"/>
              </w:rPr>
            </w:pPr>
          </w:p>
        </w:tc>
        <w:tc>
          <w:tcPr>
            <w:tcW w:w="1247" w:type="dxa"/>
          </w:tcPr>
          <w:p w14:paraId="713E96CE" w14:textId="77777777" w:rsidR="00481298" w:rsidRPr="002C5C67" w:rsidRDefault="00481298" w:rsidP="008C6E35">
            <w:pPr>
              <w:spacing w:after="120" w:line="240" w:lineRule="auto"/>
              <w:ind w:right="28"/>
              <w:jc w:val="center"/>
              <w:rPr>
                <w:rFonts w:eastAsia="Times New Roman" w:cstheme="minorHAnsi"/>
                <w:b/>
                <w:color w:val="002060"/>
                <w:sz w:val="18"/>
                <w:szCs w:val="18"/>
                <w:lang w:val="en-GB"/>
              </w:rPr>
            </w:pPr>
          </w:p>
        </w:tc>
        <w:tc>
          <w:tcPr>
            <w:tcW w:w="1783" w:type="dxa"/>
            <w:gridSpan w:val="2"/>
          </w:tcPr>
          <w:p w14:paraId="092C5C5E" w14:textId="77777777" w:rsidR="00481298" w:rsidRPr="002C5C67" w:rsidRDefault="00481298" w:rsidP="008C6E35">
            <w:pPr>
              <w:spacing w:after="120" w:line="240" w:lineRule="auto"/>
              <w:ind w:right="28"/>
              <w:jc w:val="center"/>
              <w:rPr>
                <w:rFonts w:eastAsia="Times New Roman" w:cstheme="minorHAnsi"/>
                <w:b/>
                <w:color w:val="002060"/>
                <w:sz w:val="18"/>
                <w:szCs w:val="18"/>
                <w:lang w:val="en-GB"/>
              </w:rPr>
            </w:pPr>
          </w:p>
        </w:tc>
        <w:tc>
          <w:tcPr>
            <w:tcW w:w="2288" w:type="dxa"/>
            <w:gridSpan w:val="2"/>
          </w:tcPr>
          <w:p w14:paraId="05E03B9F" w14:textId="77777777" w:rsidR="00481298" w:rsidRPr="002C5C67" w:rsidRDefault="00481298" w:rsidP="008C6E35">
            <w:pPr>
              <w:spacing w:after="120" w:line="240" w:lineRule="auto"/>
              <w:ind w:right="28"/>
              <w:jc w:val="center"/>
              <w:rPr>
                <w:rFonts w:eastAsia="Times New Roman" w:cstheme="minorHAnsi"/>
                <w:b/>
                <w:color w:val="002060"/>
                <w:sz w:val="18"/>
                <w:szCs w:val="18"/>
                <w:lang w:val="en-GB"/>
              </w:rPr>
            </w:pPr>
          </w:p>
        </w:tc>
        <w:tc>
          <w:tcPr>
            <w:tcW w:w="2591" w:type="dxa"/>
          </w:tcPr>
          <w:p w14:paraId="065C0274" w14:textId="77777777" w:rsidR="00481298" w:rsidRPr="002C5C67" w:rsidRDefault="00481298" w:rsidP="008C6E35">
            <w:pPr>
              <w:spacing w:after="120" w:line="240" w:lineRule="auto"/>
              <w:ind w:right="28"/>
              <w:jc w:val="center"/>
              <w:rPr>
                <w:rFonts w:eastAsia="Times New Roman" w:cstheme="minorHAnsi"/>
                <w:b/>
                <w:color w:val="002060"/>
                <w:sz w:val="18"/>
                <w:szCs w:val="18"/>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Pr="002C5C67" w:rsidRDefault="00481298" w:rsidP="008C6E35">
            <w:pPr>
              <w:spacing w:after="120" w:line="240" w:lineRule="auto"/>
              <w:ind w:right="28"/>
              <w:jc w:val="center"/>
              <w:rPr>
                <w:rFonts w:eastAsia="Times New Roman" w:cstheme="minorHAnsi"/>
                <w:b/>
                <w:color w:val="002060"/>
                <w:sz w:val="18"/>
                <w:szCs w:val="18"/>
                <w:lang w:val="en-GB"/>
              </w:rPr>
            </w:pPr>
          </w:p>
        </w:tc>
        <w:tc>
          <w:tcPr>
            <w:tcW w:w="1783" w:type="dxa"/>
            <w:gridSpan w:val="2"/>
          </w:tcPr>
          <w:p w14:paraId="15B861FA" w14:textId="77777777" w:rsidR="00481298" w:rsidRPr="002C5C67" w:rsidRDefault="00481298" w:rsidP="008C6E35">
            <w:pPr>
              <w:spacing w:after="120" w:line="240" w:lineRule="auto"/>
              <w:ind w:right="28"/>
              <w:jc w:val="center"/>
              <w:rPr>
                <w:rFonts w:eastAsia="Times New Roman" w:cstheme="minorHAnsi"/>
                <w:b/>
                <w:color w:val="002060"/>
                <w:sz w:val="18"/>
                <w:szCs w:val="18"/>
                <w:lang w:val="en-GB"/>
              </w:rPr>
            </w:pPr>
          </w:p>
        </w:tc>
        <w:tc>
          <w:tcPr>
            <w:tcW w:w="2288" w:type="dxa"/>
            <w:gridSpan w:val="2"/>
          </w:tcPr>
          <w:p w14:paraId="5D9380EC" w14:textId="77777777" w:rsidR="00481298" w:rsidRPr="002C5C67" w:rsidRDefault="00481298" w:rsidP="008C6E35">
            <w:pPr>
              <w:spacing w:after="120" w:line="240" w:lineRule="auto"/>
              <w:ind w:right="28"/>
              <w:jc w:val="center"/>
              <w:rPr>
                <w:rFonts w:eastAsia="Times New Roman" w:cstheme="minorHAnsi"/>
                <w:b/>
                <w:color w:val="002060"/>
                <w:sz w:val="18"/>
                <w:szCs w:val="18"/>
                <w:lang w:val="is-IS"/>
              </w:rPr>
            </w:pPr>
          </w:p>
        </w:tc>
        <w:tc>
          <w:tcPr>
            <w:tcW w:w="2591" w:type="dxa"/>
          </w:tcPr>
          <w:p w14:paraId="7EC5B40C" w14:textId="77777777" w:rsidR="00481298" w:rsidRPr="002C5C67" w:rsidRDefault="00481298" w:rsidP="008C6E35">
            <w:pPr>
              <w:spacing w:after="120" w:line="240" w:lineRule="auto"/>
              <w:ind w:right="28"/>
              <w:jc w:val="center"/>
              <w:rPr>
                <w:rFonts w:eastAsia="Times New Roman" w:cstheme="minorHAnsi"/>
                <w:b/>
                <w:color w:val="002060"/>
                <w:sz w:val="18"/>
                <w:szCs w:val="18"/>
                <w:lang w:val="en-GB"/>
              </w:rPr>
            </w:pPr>
          </w:p>
        </w:tc>
      </w:tr>
      <w:tr w:rsidR="00481298" w14:paraId="0972A1A1" w14:textId="77777777" w:rsidTr="002C5C67">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4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7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2C5C67">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743" w:type="dxa"/>
          </w:tcPr>
          <w:p w14:paraId="18073952" w14:textId="2706301F" w:rsidR="00481298" w:rsidRPr="002C5C67" w:rsidRDefault="002C5C67" w:rsidP="008C6E35">
            <w:pPr>
              <w:spacing w:after="120" w:line="240" w:lineRule="auto"/>
              <w:ind w:right="28"/>
              <w:jc w:val="center"/>
              <w:rPr>
                <w:rFonts w:eastAsia="Times New Roman" w:cstheme="minorHAnsi"/>
                <w:b/>
                <w:color w:val="002060"/>
                <w:sz w:val="18"/>
                <w:szCs w:val="18"/>
                <w:lang w:val="en-GB"/>
              </w:rPr>
            </w:pPr>
            <w:r>
              <w:rPr>
                <w:rFonts w:eastAsia="Times New Roman" w:cstheme="minorHAnsi"/>
                <w:b/>
                <w:color w:val="002060"/>
                <w:sz w:val="18"/>
                <w:szCs w:val="18"/>
                <w:lang w:val="en-GB"/>
              </w:rPr>
              <w:t>Eszterházy Károly Catholic University</w:t>
            </w:r>
          </w:p>
        </w:tc>
        <w:tc>
          <w:tcPr>
            <w:tcW w:w="1779" w:type="dxa"/>
            <w:gridSpan w:val="2"/>
          </w:tcPr>
          <w:p w14:paraId="682EC6A5" w14:textId="77777777" w:rsidR="00481298" w:rsidRPr="002C5C67" w:rsidRDefault="00481298" w:rsidP="008C6E35">
            <w:pPr>
              <w:spacing w:after="120" w:line="240" w:lineRule="auto"/>
              <w:ind w:right="28"/>
              <w:jc w:val="center"/>
              <w:rPr>
                <w:rFonts w:eastAsia="Times New Roman" w:cstheme="minorHAnsi"/>
                <w:b/>
                <w:color w:val="002060"/>
                <w:sz w:val="18"/>
                <w:szCs w:val="18"/>
                <w:lang w:val="en-GB"/>
              </w:rPr>
            </w:pPr>
          </w:p>
        </w:tc>
        <w:tc>
          <w:tcPr>
            <w:tcW w:w="1251" w:type="dxa"/>
          </w:tcPr>
          <w:p w14:paraId="65878932" w14:textId="1BB9D2BF" w:rsidR="00481298" w:rsidRPr="002C5C67" w:rsidRDefault="002C5C67" w:rsidP="008C6E35">
            <w:pPr>
              <w:spacing w:after="120" w:line="240" w:lineRule="auto"/>
              <w:ind w:right="28"/>
              <w:jc w:val="center"/>
              <w:rPr>
                <w:rFonts w:eastAsia="Times New Roman" w:cstheme="minorHAnsi"/>
                <w:b/>
                <w:color w:val="002060"/>
                <w:sz w:val="18"/>
                <w:szCs w:val="18"/>
                <w:lang w:val="en-GB"/>
              </w:rPr>
            </w:pPr>
            <w:r>
              <w:rPr>
                <w:rFonts w:eastAsia="Times New Roman" w:cstheme="minorHAnsi"/>
                <w:b/>
                <w:color w:val="002060"/>
                <w:sz w:val="18"/>
                <w:szCs w:val="18"/>
                <w:lang w:val="en-GB"/>
              </w:rPr>
              <w:br/>
              <w:t>HU EGER02</w:t>
            </w:r>
          </w:p>
        </w:tc>
        <w:tc>
          <w:tcPr>
            <w:tcW w:w="1619" w:type="dxa"/>
          </w:tcPr>
          <w:p w14:paraId="1BA73A87" w14:textId="42D6A435" w:rsidR="00481298" w:rsidRPr="002C5C67" w:rsidRDefault="002C5C67" w:rsidP="008C6E35">
            <w:pPr>
              <w:spacing w:after="120" w:line="240" w:lineRule="auto"/>
              <w:ind w:right="28"/>
              <w:jc w:val="center"/>
              <w:rPr>
                <w:rFonts w:eastAsia="Times New Roman" w:cstheme="minorHAnsi"/>
                <w:b/>
                <w:color w:val="002060"/>
                <w:sz w:val="18"/>
                <w:szCs w:val="18"/>
                <w:lang w:val="en-GB"/>
              </w:rPr>
            </w:pPr>
            <w:r>
              <w:rPr>
                <w:rFonts w:eastAsia="Times New Roman" w:cstheme="minorHAnsi"/>
                <w:b/>
                <w:color w:val="002060"/>
                <w:sz w:val="18"/>
                <w:szCs w:val="18"/>
                <w:lang w:val="en-GB"/>
              </w:rPr>
              <w:br/>
              <w:t>HUNGARY</w:t>
            </w:r>
          </w:p>
        </w:tc>
        <w:tc>
          <w:tcPr>
            <w:tcW w:w="3260" w:type="dxa"/>
            <w:gridSpan w:val="2"/>
          </w:tcPr>
          <w:p w14:paraId="797D0E14" w14:textId="0F5A7150" w:rsidR="00481298" w:rsidRPr="002C5C67" w:rsidRDefault="002C5C67" w:rsidP="008C6E35">
            <w:pPr>
              <w:spacing w:after="120" w:line="240" w:lineRule="auto"/>
              <w:ind w:right="28"/>
              <w:jc w:val="center"/>
              <w:rPr>
                <w:rFonts w:eastAsia="Times New Roman" w:cstheme="minorHAnsi"/>
                <w:b/>
                <w:color w:val="002060"/>
                <w:sz w:val="18"/>
                <w:szCs w:val="18"/>
                <w:lang w:val="en-GB"/>
              </w:rPr>
            </w:pPr>
            <w:r>
              <w:rPr>
                <w:rFonts w:eastAsia="Times New Roman" w:cstheme="minorHAnsi"/>
                <w:b/>
                <w:color w:val="002060"/>
                <w:sz w:val="18"/>
                <w:szCs w:val="18"/>
                <w:lang w:val="en-GB"/>
              </w:rPr>
              <w:t>Ágnes Győrváry-Kiss</w:t>
            </w:r>
            <w:r>
              <w:rPr>
                <w:rFonts w:eastAsia="Times New Roman" w:cstheme="minorHAnsi"/>
                <w:b/>
                <w:color w:val="002060"/>
                <w:sz w:val="18"/>
                <w:szCs w:val="18"/>
                <w:lang w:val="en-GB"/>
              </w:rPr>
              <w:br/>
              <w:t>studentmobility@uni-eszterhazy.hu</w:t>
            </w:r>
          </w:p>
        </w:tc>
      </w:tr>
      <w:tr w:rsidR="00481298" w14:paraId="6377BC4B" w14:textId="77777777" w:rsidTr="002C5C67">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4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7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2C5C67">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743" w:type="dxa"/>
          </w:tcPr>
          <w:p w14:paraId="494B31B0" w14:textId="77777777" w:rsidR="00481298" w:rsidRPr="002C5C67" w:rsidRDefault="00481298" w:rsidP="008C6E35">
            <w:pPr>
              <w:spacing w:after="120" w:line="240" w:lineRule="auto"/>
              <w:ind w:right="28"/>
              <w:jc w:val="center"/>
              <w:rPr>
                <w:rFonts w:eastAsia="Times New Roman" w:cstheme="minorHAnsi"/>
                <w:b/>
                <w:color w:val="002060"/>
                <w:sz w:val="18"/>
                <w:szCs w:val="18"/>
                <w:lang w:val="en-GB"/>
              </w:rPr>
            </w:pPr>
          </w:p>
        </w:tc>
        <w:tc>
          <w:tcPr>
            <w:tcW w:w="1779" w:type="dxa"/>
            <w:gridSpan w:val="2"/>
          </w:tcPr>
          <w:p w14:paraId="64BE1AA1" w14:textId="77777777" w:rsidR="00481298" w:rsidRPr="002C5C67" w:rsidRDefault="00481298" w:rsidP="008C6E35">
            <w:pPr>
              <w:spacing w:after="120" w:line="240" w:lineRule="auto"/>
              <w:ind w:right="28"/>
              <w:jc w:val="center"/>
              <w:rPr>
                <w:rFonts w:eastAsia="Times New Roman" w:cstheme="minorHAnsi"/>
                <w:b/>
                <w:color w:val="002060"/>
                <w:sz w:val="18"/>
                <w:szCs w:val="18"/>
                <w:lang w:val="en-GB"/>
              </w:rPr>
            </w:pPr>
          </w:p>
        </w:tc>
        <w:tc>
          <w:tcPr>
            <w:tcW w:w="1251" w:type="dxa"/>
          </w:tcPr>
          <w:p w14:paraId="6C108FB1" w14:textId="77777777" w:rsidR="00481298" w:rsidRPr="002C5C67" w:rsidRDefault="00481298" w:rsidP="008C6E35">
            <w:pPr>
              <w:spacing w:after="120" w:line="240" w:lineRule="auto"/>
              <w:ind w:right="28"/>
              <w:jc w:val="center"/>
              <w:rPr>
                <w:rFonts w:eastAsia="Times New Roman" w:cstheme="minorHAnsi"/>
                <w:b/>
                <w:color w:val="002060"/>
                <w:sz w:val="18"/>
                <w:szCs w:val="18"/>
                <w:lang w:val="en-GB"/>
              </w:rPr>
            </w:pPr>
          </w:p>
        </w:tc>
        <w:tc>
          <w:tcPr>
            <w:tcW w:w="1619" w:type="dxa"/>
          </w:tcPr>
          <w:p w14:paraId="52656725" w14:textId="77777777" w:rsidR="00481298" w:rsidRPr="002C5C67" w:rsidRDefault="00481298" w:rsidP="008C6E35">
            <w:pPr>
              <w:spacing w:after="120" w:line="240" w:lineRule="auto"/>
              <w:ind w:right="28"/>
              <w:jc w:val="center"/>
              <w:rPr>
                <w:rFonts w:eastAsia="Times New Roman" w:cstheme="minorHAnsi"/>
                <w:b/>
                <w:color w:val="002060"/>
                <w:sz w:val="18"/>
                <w:szCs w:val="18"/>
                <w:lang w:val="en-GB"/>
              </w:rPr>
            </w:pPr>
          </w:p>
        </w:tc>
        <w:tc>
          <w:tcPr>
            <w:tcW w:w="3260" w:type="dxa"/>
            <w:gridSpan w:val="2"/>
          </w:tcPr>
          <w:p w14:paraId="1732DB5F" w14:textId="77777777" w:rsidR="00481298" w:rsidRPr="002C5C67" w:rsidRDefault="00481298" w:rsidP="008C6E35">
            <w:pPr>
              <w:spacing w:after="120" w:line="240" w:lineRule="auto"/>
              <w:ind w:right="28"/>
              <w:jc w:val="center"/>
              <w:rPr>
                <w:rFonts w:eastAsia="Times New Roman" w:cstheme="minorHAnsi"/>
                <w:b/>
                <w:color w:val="002060"/>
                <w:sz w:val="18"/>
                <w:szCs w:val="18"/>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Rcsostblzat"/>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aszerbekezds"/>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72361E">
              <w:rPr>
                <w:rFonts w:ascii="Calibri" w:eastAsia="Times New Roman" w:hAnsi="Calibri" w:cs="Times New Roman"/>
                <w:b/>
                <w:bCs/>
                <w:iCs/>
                <w:color w:val="000000"/>
                <w:sz w:val="16"/>
                <w:szCs w:val="16"/>
                <w:lang w:val="en-GB" w:eastAsia="en-GB"/>
              </w:rPr>
              <w:t>Planned period</w:t>
            </w:r>
            <w:r w:rsidRPr="009A1854">
              <w:rPr>
                <w:rFonts w:ascii="Calibri" w:eastAsia="Times New Roman" w:hAnsi="Calibri" w:cs="Times New Roman"/>
                <w:bCs/>
                <w:iCs/>
                <w:color w:val="000000"/>
                <w:sz w:val="16"/>
                <w:szCs w:val="16"/>
                <w:lang w:val="en-GB" w:eastAsia="en-GB"/>
              </w:rPr>
              <w:t xml:space="preserve">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1D6F7B16" w:rsidR="00481298" w:rsidRPr="001879C3" w:rsidRDefault="00481298" w:rsidP="008C6E35">
            <w:pPr>
              <w:pStyle w:val="Listaszerbekezds"/>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xml:space="preserve">] </w:t>
            </w:r>
            <w:r w:rsidR="002C5C67">
              <w:rPr>
                <w:rFonts w:ascii="Calibri" w:eastAsia="Times New Roman" w:hAnsi="Calibri" w:cs="Times New Roman"/>
                <w:bCs/>
                <w:iCs/>
                <w:color w:val="000000"/>
                <w:sz w:val="16"/>
                <w:szCs w:val="16"/>
                <w:lang w:val="en-GB" w:eastAsia="en-GB"/>
              </w:rPr>
              <w:t>2023/2024</w:t>
            </w:r>
          </w:p>
          <w:p w14:paraId="3DC0B769" w14:textId="77777777" w:rsidR="00481298" w:rsidRPr="004827BD" w:rsidRDefault="00481298" w:rsidP="008C6E35">
            <w:pPr>
              <w:pStyle w:val="Listaszerbekezds"/>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aszerbekezds"/>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1" w:name="_GoBack"/>
      <w:bookmarkEnd w:id="1"/>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Rcsostblzat"/>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6EC8FE4E" w:rsidR="00481298" w:rsidRPr="0072361E" w:rsidRDefault="0072361E" w:rsidP="008C6E35">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Head of Department</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007513E1" w14:textId="77777777" w:rsidR="002C5C67" w:rsidRDefault="002C5C67" w:rsidP="002A5F26">
      <w:pPr>
        <w:spacing w:after="160" w:line="259" w:lineRule="auto"/>
        <w:jc w:val="center"/>
        <w:rPr>
          <w:rFonts w:ascii="Verdana" w:eastAsia="Times New Roman" w:hAnsi="Verdana" w:cs="Arial"/>
          <w:b/>
          <w:color w:val="002060"/>
          <w:sz w:val="28"/>
          <w:szCs w:val="36"/>
          <w:lang w:val="en-GB"/>
        </w:rPr>
      </w:pPr>
    </w:p>
    <w:p w14:paraId="67B14889" w14:textId="58D1B76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Rcsostblzat"/>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0" w:history="1">
              <w:r w:rsidRPr="003721A6">
                <w:rPr>
                  <w:rStyle w:val="Hiperhivatkozs"/>
                  <w:sz w:val="20"/>
                  <w:lang w:val="en-GB"/>
                </w:rPr>
                <w:t>Technical Documentation</w:t>
              </w:r>
            </w:hyperlink>
            <w:r>
              <w:rPr>
                <w:sz w:val="20"/>
                <w:lang w:val="en-GB"/>
              </w:rPr>
              <w:t xml:space="preserve"> page of the </w:t>
            </w:r>
            <w:hyperlink r:id="rId11" w:history="1">
              <w:r w:rsidRPr="003721A6">
                <w:rPr>
                  <w:rStyle w:val="Hiperhivatkozs"/>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Lbjegyzetszveg"/>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iperhivatkozs"/>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iperhivatkoz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Vgjegyzetszvege"/>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Lbjegyzetszveg"/>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4" w:history="1">
              <w:r w:rsidRPr="006B5F1F">
                <w:rPr>
                  <w:rStyle w:val="Hiperhivatkozs"/>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5" w:history="1">
              <w:r w:rsidRPr="002E1905">
                <w:rPr>
                  <w:rStyle w:val="Hiperhivatkoz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iperhivatkozs"/>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Vgjegyzetszveg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hivatkozs"/>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Lbjegyzetszveg"/>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Lbjegyzetszveg"/>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62470"/>
    <w:rsid w:val="000C7F9E"/>
    <w:rsid w:val="000F209B"/>
    <w:rsid w:val="001057A8"/>
    <w:rsid w:val="001D26FB"/>
    <w:rsid w:val="002A5F26"/>
    <w:rsid w:val="002C5C67"/>
    <w:rsid w:val="002F66E4"/>
    <w:rsid w:val="0047200F"/>
    <w:rsid w:val="00481298"/>
    <w:rsid w:val="004844EC"/>
    <w:rsid w:val="0053080C"/>
    <w:rsid w:val="00567EB1"/>
    <w:rsid w:val="00681C1C"/>
    <w:rsid w:val="0072361E"/>
    <w:rsid w:val="008636A7"/>
    <w:rsid w:val="008C6E35"/>
    <w:rsid w:val="00962DB1"/>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81298"/>
    <w:pPr>
      <w:spacing w:after="200" w:line="27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hivatkozs">
    <w:name w:val="Hyperlink"/>
    <w:basedOn w:val="Bekezdsalapbettpusa"/>
    <w:unhideWhenUsed/>
    <w:rsid w:val="00481298"/>
    <w:rPr>
      <w:color w:val="0563C1" w:themeColor="hyperlink"/>
      <w:u w:val="single"/>
    </w:rPr>
  </w:style>
  <w:style w:type="table" w:styleId="Rcsostblzat">
    <w:name w:val="Table Grid"/>
    <w:basedOn w:val="Normltblzat"/>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481298"/>
    <w:rPr>
      <w:rFonts w:ascii="Times New Roman" w:eastAsia="Times New Roman" w:hAnsi="Times New Roman" w:cs="Times New Roman"/>
      <w:sz w:val="20"/>
      <w:szCs w:val="20"/>
      <w:lang w:val="fr-FR"/>
    </w:rPr>
  </w:style>
  <w:style w:type="character" w:styleId="Vgjegyzet-hivatkozs">
    <w:name w:val="endnote reference"/>
    <w:rsid w:val="00481298"/>
    <w:rPr>
      <w:vertAlign w:val="superscript"/>
    </w:rPr>
  </w:style>
  <w:style w:type="paragraph" w:styleId="Vgjegyzetszvege">
    <w:name w:val="endnote text"/>
    <w:basedOn w:val="Norml"/>
    <w:link w:val="VgjegyzetszvegeChar"/>
    <w:unhideWhenUsed/>
    <w:rsid w:val="00481298"/>
    <w:pPr>
      <w:spacing w:after="0" w:line="240" w:lineRule="auto"/>
    </w:pPr>
    <w:rPr>
      <w:sz w:val="20"/>
      <w:szCs w:val="20"/>
    </w:rPr>
  </w:style>
  <w:style w:type="character" w:customStyle="1" w:styleId="VgjegyzetszvegeChar">
    <w:name w:val="Végjegyzet szövege Char"/>
    <w:basedOn w:val="Bekezdsalapbettpusa"/>
    <w:link w:val="Vgjegyzetszvege"/>
    <w:rsid w:val="00481298"/>
    <w:rPr>
      <w:sz w:val="20"/>
      <w:szCs w:val="20"/>
      <w:lang w:val="it-IT"/>
    </w:rPr>
  </w:style>
  <w:style w:type="character" w:styleId="Jegyzethivatkozs">
    <w:name w:val="annotation reference"/>
    <w:basedOn w:val="Bekezdsalapbettpusa"/>
    <w:uiPriority w:val="99"/>
    <w:semiHidden/>
    <w:unhideWhenUsed/>
    <w:rsid w:val="00481298"/>
    <w:rPr>
      <w:sz w:val="16"/>
      <w:szCs w:val="16"/>
    </w:rPr>
  </w:style>
  <w:style w:type="paragraph" w:styleId="Jegyzetszveg">
    <w:name w:val="annotation text"/>
    <w:basedOn w:val="Norml"/>
    <w:link w:val="JegyzetszvegChar"/>
    <w:unhideWhenUsed/>
    <w:rsid w:val="00481298"/>
    <w:pPr>
      <w:spacing w:line="240" w:lineRule="auto"/>
    </w:pPr>
    <w:rPr>
      <w:sz w:val="20"/>
      <w:szCs w:val="20"/>
    </w:rPr>
  </w:style>
  <w:style w:type="character" w:customStyle="1" w:styleId="JegyzetszvegChar">
    <w:name w:val="Jegyzetszöveg Char"/>
    <w:basedOn w:val="Bekezdsalapbettpusa"/>
    <w:link w:val="Jegyzetszveg"/>
    <w:rsid w:val="00481298"/>
    <w:rPr>
      <w:sz w:val="20"/>
      <w:szCs w:val="20"/>
      <w:lang w:val="it-IT"/>
    </w:rPr>
  </w:style>
  <w:style w:type="paragraph" w:styleId="Listaszerbekezds">
    <w:name w:val="List Paragraph"/>
    <w:basedOn w:val="Norml"/>
    <w:uiPriority w:val="34"/>
    <w:qFormat/>
    <w:rsid w:val="00481298"/>
    <w:pPr>
      <w:ind w:left="720"/>
      <w:contextualSpacing/>
    </w:pPr>
  </w:style>
  <w:style w:type="character" w:styleId="Helyrzszveg">
    <w:name w:val="Placeholder Text"/>
    <w:basedOn w:val="Bekezdsalapbettpusa"/>
    <w:uiPriority w:val="99"/>
    <w:semiHidden/>
    <w:rsid w:val="00481298"/>
    <w:rPr>
      <w:color w:val="808080"/>
    </w:rPr>
  </w:style>
  <w:style w:type="character" w:styleId="Mrltotthiperhivatkozs">
    <w:name w:val="FollowedHyperlink"/>
    <w:basedOn w:val="Bekezdsalapbettpusa"/>
    <w:uiPriority w:val="99"/>
    <w:semiHidden/>
    <w:unhideWhenUsed/>
    <w:rsid w:val="00481298"/>
    <w:rPr>
      <w:color w:val="954F72" w:themeColor="followedHyperlink"/>
      <w:u w:val="single"/>
    </w:rPr>
  </w:style>
  <w:style w:type="paragraph" w:styleId="Buborkszveg">
    <w:name w:val="Balloon Text"/>
    <w:basedOn w:val="Norml"/>
    <w:link w:val="BuborkszvegChar"/>
    <w:uiPriority w:val="99"/>
    <w:semiHidden/>
    <w:unhideWhenUsed/>
    <w:rsid w:val="00481298"/>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481298"/>
    <w:rPr>
      <w:rFonts w:ascii="Times New Roman" w:hAnsi="Times New Roman" w:cs="Times New Roman"/>
      <w:sz w:val="18"/>
      <w:szCs w:val="18"/>
      <w:lang w:val="it-IT"/>
    </w:rPr>
  </w:style>
  <w:style w:type="paragraph" w:styleId="lfej">
    <w:name w:val="header"/>
    <w:basedOn w:val="Norml"/>
    <w:link w:val="lfejChar"/>
    <w:uiPriority w:val="99"/>
    <w:semiHidden/>
    <w:unhideWhenUsed/>
    <w:rsid w:val="00481298"/>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481298"/>
    <w:rPr>
      <w:lang w:val="it-IT"/>
    </w:rPr>
  </w:style>
  <w:style w:type="paragraph" w:styleId="llb">
    <w:name w:val="footer"/>
    <w:basedOn w:val="Norml"/>
    <w:link w:val="llbChar"/>
    <w:uiPriority w:val="99"/>
    <w:semiHidden/>
    <w:unhideWhenUsed/>
    <w:rsid w:val="00481298"/>
    <w:pPr>
      <w:tabs>
        <w:tab w:val="center" w:pos="4513"/>
        <w:tab w:val="right" w:pos="9026"/>
      </w:tabs>
      <w:spacing w:after="0" w:line="240" w:lineRule="auto"/>
    </w:pPr>
  </w:style>
  <w:style w:type="character" w:customStyle="1" w:styleId="llbChar">
    <w:name w:val="Élőláb Char"/>
    <w:basedOn w:val="Bekezdsalapbettpusa"/>
    <w:link w:val="llb"/>
    <w:uiPriority w:val="99"/>
    <w:semiHidden/>
    <w:rsid w:val="00481298"/>
    <w:rPr>
      <w:lang w:val="it-IT"/>
    </w:rPr>
  </w:style>
  <w:style w:type="paragraph" w:styleId="Megjegyzstrgya">
    <w:name w:val="annotation subject"/>
    <w:basedOn w:val="Jegyzetszveg"/>
    <w:next w:val="Jegyzetszveg"/>
    <w:link w:val="MegjegyzstrgyaChar"/>
    <w:uiPriority w:val="99"/>
    <w:semiHidden/>
    <w:unhideWhenUsed/>
    <w:rsid w:val="00481298"/>
    <w:rPr>
      <w:b/>
      <w:bCs/>
    </w:rPr>
  </w:style>
  <w:style w:type="character" w:customStyle="1" w:styleId="MegjegyzstrgyaChar">
    <w:name w:val="Megjegyzés tárgya Char"/>
    <w:basedOn w:val="JegyzetszvegChar"/>
    <w:link w:val="Megjegyzstrgya"/>
    <w:uiPriority w:val="99"/>
    <w:semiHidden/>
    <w:rsid w:val="00481298"/>
    <w:rPr>
      <w:b/>
      <w:bCs/>
      <w:sz w:val="20"/>
      <w:szCs w:val="20"/>
      <w:lang w:val="it-IT"/>
    </w:rPr>
  </w:style>
  <w:style w:type="character" w:customStyle="1" w:styleId="ui-provider">
    <w:name w:val="ui-provider"/>
    <w:basedOn w:val="Bekezdsalapbettpusa"/>
    <w:rsid w:val="00481298"/>
  </w:style>
  <w:style w:type="paragraph" w:styleId="Vltozat">
    <w:name w:val="Revision"/>
    <w:hidden/>
    <w:uiPriority w:val="99"/>
    <w:semiHidden/>
    <w:rsid w:val="00481298"/>
    <w:pPr>
      <w:spacing w:after="0" w:line="240" w:lineRule="auto"/>
    </w:pPr>
    <w:rPr>
      <w:lang w:val="it-IT"/>
    </w:rPr>
  </w:style>
  <w:style w:type="character" w:customStyle="1" w:styleId="UnresolvedMention1">
    <w:name w:val="Unresolved Mention1"/>
    <w:basedOn w:val="Bekezdsalapbettpusa"/>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agreement.eu/" TargetMode="Externa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numbering" Target="numbering.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c.europa.eu/education-levels/higher-education/european-student-card-initiative" TargetMode="External"/><Relationship Id="rId5" Type="http://schemas.openxmlformats.org/officeDocument/2006/relationships/webSettings" Target="webSettings.xml"/><Relationship Id="rId15" Type="http://schemas.openxmlformats.org/officeDocument/2006/relationships/hyperlink" Target="https://europa.eu/europass/en/diploma-supplement" TargetMode="External"/><Relationship Id="rId10" Type="http://schemas.openxmlformats.org/officeDocument/2006/relationships/hyperlink" Target="https://erasmus-plus.ec.europa.eu/european-student-card-initiative/help-support/technic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programmes/erasmus-plus/resources/documents/guidelines-how-use-learning-agreement-studies_en" TargetMode="External"/><Relationship Id="rId14" Type="http://schemas.openxmlformats.org/officeDocument/2006/relationships/hyperlink" Target="https://ec.europa.eu/education/ects/users-guide/docs/ects-users-guid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B51D4-BAA1-4FCB-879A-2B25C2A5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1567</Words>
  <Characters>10819</Characters>
  <Application>Microsoft Office Word</Application>
  <DocSecurity>0</DocSecurity>
  <Lines>90</Lines>
  <Paragraphs>24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Kiss Ágnes</cp:lastModifiedBy>
  <cp:revision>3</cp:revision>
  <dcterms:created xsi:type="dcterms:W3CDTF">2023-09-18T10:00:00Z</dcterms:created>
  <dcterms:modified xsi:type="dcterms:W3CDTF">2023-09-18T10:07:00Z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