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696" w:rsidRPr="00DC5A4B" w:rsidRDefault="00B55696" w:rsidP="00B55696">
      <w:pPr>
        <w:pStyle w:val="lfej"/>
        <w:keepNext/>
        <w:keepLines/>
        <w:tabs>
          <w:tab w:val="clear" w:pos="4320"/>
          <w:tab w:val="clear" w:pos="8640"/>
        </w:tabs>
        <w:spacing w:before="120"/>
        <w:jc w:val="center"/>
        <w:rPr>
          <w:rFonts w:ascii="Times New Roman" w:hAnsi="Times New Roman" w:cs="Times New Roman"/>
          <w:b/>
          <w:bCs/>
          <w:smallCaps/>
          <w:sz w:val="2"/>
          <w:szCs w:val="2"/>
          <w:lang w:val="hu-HU"/>
        </w:rPr>
      </w:pPr>
    </w:p>
    <w:p w:rsidR="00B55696" w:rsidRPr="00E12A51" w:rsidRDefault="00B55696" w:rsidP="00B55696">
      <w:pPr>
        <w:jc w:val="both"/>
        <w:rPr>
          <w:sz w:val="4"/>
          <w:szCs w:val="4"/>
        </w:rPr>
      </w:pPr>
    </w:p>
    <w:p w:rsidR="00B55696" w:rsidRPr="00681CDA" w:rsidRDefault="00B55696" w:rsidP="00B55696">
      <w:pPr>
        <w:pStyle w:val="Cmsor1"/>
        <w:numPr>
          <w:ilvl w:val="0"/>
          <w:numId w:val="0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0" w:color="auto"/>
        </w:pBdr>
        <w:shd w:val="clear" w:color="auto" w:fill="00FF00"/>
        <w:spacing w:before="0" w:after="0"/>
        <w:ind w:left="1701" w:right="1474"/>
        <w:jc w:val="center"/>
        <w:rPr>
          <w:sz w:val="26"/>
          <w:szCs w:val="26"/>
        </w:rPr>
      </w:pPr>
      <w:r>
        <w:rPr>
          <w:sz w:val="26"/>
          <w:szCs w:val="26"/>
        </w:rPr>
        <w:t>GEOGRÁFUS MSc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82"/>
      </w:tblGrid>
      <w:tr w:rsidR="00B55696" w:rsidRPr="002306DD" w:rsidTr="00C43843">
        <w:tc>
          <w:tcPr>
            <w:tcW w:w="8882" w:type="dxa"/>
            <w:tcMar>
              <w:top w:w="28" w:type="dxa"/>
              <w:bottom w:w="28" w:type="dxa"/>
            </w:tcMar>
          </w:tcPr>
          <w:p w:rsidR="00B55696" w:rsidRPr="002306DD" w:rsidRDefault="00B55696" w:rsidP="00C43843">
            <w:pPr>
              <w:rPr>
                <w:sz w:val="24"/>
                <w:szCs w:val="24"/>
              </w:rPr>
            </w:pPr>
            <w:r w:rsidRPr="002306DD">
              <w:rPr>
                <w:sz w:val="24"/>
                <w:szCs w:val="24"/>
              </w:rPr>
              <w:t xml:space="preserve">A mesterszak megnevezése </w:t>
            </w:r>
            <w:r w:rsidRPr="002306DD">
              <w:rPr>
                <w:b/>
                <w:bCs/>
                <w:sz w:val="22"/>
                <w:szCs w:val="22"/>
              </w:rPr>
              <w:t>Geográfus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25A2D">
              <w:rPr>
                <w:b/>
                <w:bCs/>
                <w:i/>
                <w:sz w:val="22"/>
                <w:szCs w:val="22"/>
              </w:rPr>
              <w:t>(</w:t>
            </w:r>
            <w:proofErr w:type="spellStart"/>
            <w:r w:rsidRPr="00625A2D">
              <w:rPr>
                <w:b/>
                <w:bCs/>
                <w:i/>
                <w:sz w:val="22"/>
                <w:szCs w:val="22"/>
              </w:rPr>
              <w:t>Geographer</w:t>
            </w:r>
            <w:proofErr w:type="spellEnd"/>
            <w:r w:rsidRPr="00625A2D">
              <w:rPr>
                <w:b/>
                <w:bCs/>
                <w:i/>
                <w:sz w:val="22"/>
                <w:szCs w:val="22"/>
              </w:rPr>
              <w:t>)</w:t>
            </w:r>
          </w:p>
        </w:tc>
      </w:tr>
      <w:tr w:rsidR="00B55696" w:rsidRPr="002306DD" w:rsidTr="00C43843">
        <w:tc>
          <w:tcPr>
            <w:tcW w:w="8882" w:type="dxa"/>
            <w:tcMar>
              <w:top w:w="28" w:type="dxa"/>
              <w:bottom w:w="28" w:type="dxa"/>
            </w:tcMar>
          </w:tcPr>
          <w:p w:rsidR="00B55696" w:rsidRPr="002306DD" w:rsidRDefault="00B55696" w:rsidP="00C43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306DD">
              <w:rPr>
                <w:sz w:val="24"/>
                <w:szCs w:val="24"/>
              </w:rPr>
              <w:t xml:space="preserve">z oklevélben szereplő szakképzettség megnevezése </w:t>
            </w:r>
            <w:r w:rsidRPr="002306DD">
              <w:rPr>
                <w:b/>
                <w:bCs/>
                <w:sz w:val="22"/>
                <w:szCs w:val="22"/>
              </w:rPr>
              <w:t>okleveles geográfus</w:t>
            </w:r>
          </w:p>
        </w:tc>
      </w:tr>
      <w:tr w:rsidR="00B55696" w:rsidRPr="002306DD" w:rsidTr="00C43843">
        <w:tc>
          <w:tcPr>
            <w:tcW w:w="8882" w:type="dxa"/>
            <w:tcMar>
              <w:top w:w="28" w:type="dxa"/>
              <w:bottom w:w="28" w:type="dxa"/>
            </w:tcMar>
          </w:tcPr>
          <w:p w:rsidR="00B55696" w:rsidRPr="002306DD" w:rsidRDefault="00B55696" w:rsidP="00C43843">
            <w:pPr>
              <w:rPr>
                <w:sz w:val="24"/>
                <w:szCs w:val="24"/>
              </w:rPr>
            </w:pPr>
            <w:r w:rsidRPr="002306DD">
              <w:rPr>
                <w:sz w:val="24"/>
                <w:szCs w:val="24"/>
              </w:rPr>
              <w:t xml:space="preserve">Az indítani tervezett </w:t>
            </w:r>
            <w:proofErr w:type="gramStart"/>
            <w:r w:rsidRPr="002306DD">
              <w:rPr>
                <w:sz w:val="24"/>
                <w:szCs w:val="24"/>
              </w:rPr>
              <w:t>szakirány(</w:t>
            </w:r>
            <w:proofErr w:type="gramEnd"/>
            <w:r w:rsidRPr="002306DD">
              <w:rPr>
                <w:sz w:val="24"/>
                <w:szCs w:val="24"/>
              </w:rPr>
              <w:t xml:space="preserve">ok) megnevezése </w:t>
            </w:r>
          </w:p>
        </w:tc>
      </w:tr>
      <w:tr w:rsidR="00B55696" w:rsidRPr="002306DD" w:rsidTr="00C43843">
        <w:tc>
          <w:tcPr>
            <w:tcW w:w="8882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B55696" w:rsidRPr="008774C6" w:rsidRDefault="00B55696" w:rsidP="00B55696">
            <w:pPr>
              <w:numPr>
                <w:ilvl w:val="0"/>
                <w:numId w:val="2"/>
              </w:numPr>
              <w:ind w:left="0" w:firstLine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8774C6">
              <w:rPr>
                <w:b/>
                <w:bCs/>
                <w:sz w:val="22"/>
                <w:szCs w:val="22"/>
              </w:rPr>
              <w:t xml:space="preserve">Erőforrás- és kockázatelemző </w:t>
            </w:r>
            <w:proofErr w:type="gramStart"/>
            <w:r w:rsidRPr="008774C6">
              <w:rPr>
                <w:b/>
                <w:bCs/>
                <w:sz w:val="22"/>
                <w:szCs w:val="22"/>
              </w:rPr>
              <w:t xml:space="preserve">geográfus  </w:t>
            </w:r>
            <w:r w:rsidRPr="008774C6">
              <w:rPr>
                <w:b/>
                <w:bCs/>
                <w:i/>
                <w:sz w:val="22"/>
                <w:szCs w:val="22"/>
              </w:rPr>
              <w:t>(</w:t>
            </w:r>
            <w:proofErr w:type="spellStart"/>
            <w:proofErr w:type="gramEnd"/>
            <w:r w:rsidRPr="008774C6">
              <w:rPr>
                <w:b/>
                <w:bCs/>
                <w:i/>
                <w:sz w:val="22"/>
                <w:szCs w:val="22"/>
              </w:rPr>
              <w:t>Risk</w:t>
            </w:r>
            <w:proofErr w:type="spellEnd"/>
            <w:r w:rsidRPr="008774C6">
              <w:rPr>
                <w:b/>
                <w:bCs/>
                <w:i/>
                <w:sz w:val="22"/>
                <w:szCs w:val="22"/>
              </w:rPr>
              <w:t xml:space="preserve"> and </w:t>
            </w:r>
            <w:proofErr w:type="spellStart"/>
            <w:r w:rsidRPr="008774C6">
              <w:rPr>
                <w:b/>
                <w:bCs/>
                <w:i/>
                <w:sz w:val="22"/>
                <w:szCs w:val="22"/>
              </w:rPr>
              <w:t>resource</w:t>
            </w:r>
            <w:proofErr w:type="spellEnd"/>
            <w:r w:rsidRPr="008774C6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774C6">
              <w:rPr>
                <w:b/>
                <w:bCs/>
                <w:i/>
                <w:sz w:val="22"/>
                <w:szCs w:val="22"/>
              </w:rPr>
              <w:t>analyzer</w:t>
            </w:r>
            <w:proofErr w:type="spellEnd"/>
            <w:r w:rsidRPr="008774C6">
              <w:rPr>
                <w:b/>
                <w:bCs/>
                <w:i/>
                <w:sz w:val="22"/>
                <w:szCs w:val="22"/>
              </w:rPr>
              <w:t>)</w:t>
            </w:r>
          </w:p>
          <w:p w:rsidR="00B55696" w:rsidRPr="008774C6" w:rsidRDefault="00B55696" w:rsidP="00B55696">
            <w:pPr>
              <w:numPr>
                <w:ilvl w:val="0"/>
                <w:numId w:val="2"/>
              </w:numPr>
              <w:ind w:left="0" w:firstLine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8774C6">
              <w:rPr>
                <w:b/>
                <w:bCs/>
                <w:sz w:val="22"/>
                <w:szCs w:val="22"/>
              </w:rPr>
              <w:t xml:space="preserve">Régiómenedzser geográfus </w:t>
            </w:r>
            <w:r w:rsidRPr="008774C6">
              <w:rPr>
                <w:b/>
                <w:bCs/>
                <w:i/>
                <w:sz w:val="22"/>
                <w:szCs w:val="22"/>
              </w:rPr>
              <w:t>(</w:t>
            </w:r>
            <w:proofErr w:type="spellStart"/>
            <w:r w:rsidRPr="008774C6">
              <w:rPr>
                <w:b/>
                <w:bCs/>
                <w:i/>
                <w:sz w:val="22"/>
                <w:szCs w:val="22"/>
              </w:rPr>
              <w:t>Geographer</w:t>
            </w:r>
            <w:proofErr w:type="spellEnd"/>
            <w:r w:rsidRPr="008774C6">
              <w:rPr>
                <w:b/>
                <w:bCs/>
                <w:i/>
                <w:sz w:val="22"/>
                <w:szCs w:val="22"/>
              </w:rPr>
              <w:t xml:space="preserve"> of </w:t>
            </w:r>
            <w:proofErr w:type="spellStart"/>
            <w:r w:rsidRPr="008774C6">
              <w:rPr>
                <w:b/>
                <w:bCs/>
                <w:i/>
                <w:sz w:val="22"/>
                <w:szCs w:val="22"/>
              </w:rPr>
              <w:t>regional</w:t>
            </w:r>
            <w:proofErr w:type="spellEnd"/>
            <w:r w:rsidRPr="008774C6">
              <w:rPr>
                <w:b/>
                <w:bCs/>
                <w:i/>
                <w:sz w:val="22"/>
                <w:szCs w:val="22"/>
              </w:rPr>
              <w:t xml:space="preserve"> management)</w:t>
            </w:r>
          </w:p>
        </w:tc>
      </w:tr>
      <w:tr w:rsidR="00B55696" w:rsidRPr="002306DD" w:rsidTr="00C43843">
        <w:tc>
          <w:tcPr>
            <w:tcW w:w="8882" w:type="dxa"/>
            <w:tcMar>
              <w:top w:w="28" w:type="dxa"/>
              <w:bottom w:w="28" w:type="dxa"/>
            </w:tcMar>
          </w:tcPr>
          <w:p w:rsidR="00B55696" w:rsidRPr="008774C6" w:rsidRDefault="00B55696" w:rsidP="00C43843">
            <w:pPr>
              <w:rPr>
                <w:sz w:val="24"/>
                <w:szCs w:val="24"/>
              </w:rPr>
            </w:pPr>
            <w:r w:rsidRPr="008774C6">
              <w:rPr>
                <w:sz w:val="24"/>
                <w:szCs w:val="24"/>
              </w:rPr>
              <w:t>Hallgatói létszám képzési formánként</w:t>
            </w:r>
            <w:proofErr w:type="gramStart"/>
            <w:r w:rsidRPr="008774C6">
              <w:rPr>
                <w:sz w:val="24"/>
                <w:szCs w:val="24"/>
              </w:rPr>
              <w:t xml:space="preserve">:  </w:t>
            </w:r>
            <w:r w:rsidRPr="008774C6">
              <w:rPr>
                <w:b/>
                <w:bCs/>
                <w:sz w:val="22"/>
                <w:szCs w:val="22"/>
              </w:rPr>
              <w:t>nappali</w:t>
            </w:r>
            <w:proofErr w:type="gramEnd"/>
            <w:r w:rsidRPr="008774C6">
              <w:rPr>
                <w:b/>
                <w:bCs/>
                <w:sz w:val="22"/>
                <w:szCs w:val="22"/>
              </w:rPr>
              <w:t>: 20 fő, levelező: 20 fő</w:t>
            </w:r>
          </w:p>
        </w:tc>
      </w:tr>
      <w:tr w:rsidR="00B55696" w:rsidRPr="002306DD" w:rsidTr="00C43843">
        <w:tc>
          <w:tcPr>
            <w:tcW w:w="8882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B55696" w:rsidRPr="002306DD" w:rsidRDefault="00B55696" w:rsidP="00C43843">
            <w:pPr>
              <w:pStyle w:val="lfej"/>
              <w:tabs>
                <w:tab w:val="left" w:pos="709"/>
              </w:tabs>
              <w:jc w:val="both"/>
            </w:pPr>
            <w:r w:rsidRPr="008774C6">
              <w:t xml:space="preserve">A </w:t>
            </w:r>
            <w:proofErr w:type="spellStart"/>
            <w:r w:rsidRPr="008774C6">
              <w:t>képzési</w:t>
            </w:r>
            <w:proofErr w:type="spellEnd"/>
            <w:r w:rsidRPr="008774C6">
              <w:t xml:space="preserve"> </w:t>
            </w:r>
            <w:proofErr w:type="spellStart"/>
            <w:r w:rsidRPr="008774C6">
              <w:t>idő</w:t>
            </w:r>
            <w:proofErr w:type="spellEnd"/>
            <w:r w:rsidRPr="008774C6">
              <w:t xml:space="preserve"> </w:t>
            </w:r>
            <w:r w:rsidRPr="008774C6">
              <w:rPr>
                <w:rFonts w:ascii="Times New Roman" w:hAnsi="Times New Roman" w:cs="Times New Roman"/>
                <w:b/>
                <w:bCs/>
                <w:lang w:val="hu-HU"/>
              </w:rPr>
              <w:t>4 félév</w:t>
            </w:r>
            <w:r w:rsidRPr="008774C6">
              <w:rPr>
                <w:rFonts w:ascii="Times New Roman" w:hAnsi="Times New Roman" w:cs="Times New Roman"/>
                <w:lang w:val="hu-HU"/>
              </w:rPr>
              <w:t xml:space="preserve">, az oklevél megszerzéséhez </w:t>
            </w:r>
            <w:r w:rsidRPr="008774C6">
              <w:rPr>
                <w:rFonts w:ascii="Times New Roman" w:hAnsi="Times New Roman" w:cs="Times New Roman"/>
                <w:b/>
                <w:bCs/>
                <w:lang w:val="hu-HU"/>
              </w:rPr>
              <w:t>120 kredit</w:t>
            </w:r>
            <w:r w:rsidRPr="008774C6">
              <w:rPr>
                <w:rFonts w:ascii="Times New Roman" w:hAnsi="Times New Roman" w:cs="Times New Roman"/>
                <w:lang w:val="hu-HU"/>
              </w:rPr>
              <w:t xml:space="preserve"> szükséges</w:t>
            </w:r>
            <w:r w:rsidRPr="008774C6">
              <w:rPr>
                <w:sz w:val="22"/>
                <w:szCs w:val="22"/>
                <w:lang w:val="hu-HU"/>
              </w:rPr>
              <w:t xml:space="preserve">. </w:t>
            </w:r>
            <w:r w:rsidRPr="008774C6">
              <w:rPr>
                <w:rFonts w:ascii="Times New Roman" w:hAnsi="Times New Roman" w:cs="Times New Roman"/>
                <w:bCs/>
                <w:lang w:val="hu-HU"/>
              </w:rPr>
              <w:t xml:space="preserve">A képzésben mindkét szakirányon </w:t>
            </w:r>
            <w:r w:rsidRPr="008774C6">
              <w:rPr>
                <w:rFonts w:ascii="Times New Roman" w:hAnsi="Times New Roman" w:cs="Times New Roman"/>
                <w:b/>
                <w:bCs/>
                <w:lang w:val="nb-NO"/>
              </w:rPr>
              <w:t>legalább 6 hét</w:t>
            </w:r>
            <w:r w:rsidRPr="008774C6">
              <w:rPr>
                <w:rFonts w:ascii="Times New Roman" w:hAnsi="Times New Roman" w:cs="Times New Roman"/>
                <w:bCs/>
                <w:lang w:val="hu-HU"/>
              </w:rPr>
              <w:t xml:space="preserve">, amelynek sikeres teljesítését </w:t>
            </w:r>
            <w:r w:rsidRPr="008774C6">
              <w:rPr>
                <w:rFonts w:ascii="Times New Roman" w:hAnsi="Times New Roman" w:cs="Times New Roman"/>
                <w:b/>
                <w:bCs/>
                <w:lang w:val="hu-HU"/>
              </w:rPr>
              <w:t>8</w:t>
            </w:r>
            <w:r w:rsidRPr="008774C6">
              <w:rPr>
                <w:rFonts w:ascii="Times New Roman" w:hAnsi="Times New Roman" w:cs="Times New Roman"/>
                <w:bCs/>
                <w:lang w:val="hu-HU"/>
              </w:rPr>
              <w:t xml:space="preserve"> kredittel ismerjük el.</w:t>
            </w:r>
          </w:p>
        </w:tc>
      </w:tr>
    </w:tbl>
    <w:p w:rsidR="00B55696" w:rsidRDefault="00B55696" w:rsidP="00B55696"/>
    <w:p w:rsidR="00B55696" w:rsidRPr="00391270" w:rsidRDefault="00B55696" w:rsidP="00B55696">
      <w:pPr>
        <w:autoSpaceDE w:val="0"/>
        <w:autoSpaceDN w:val="0"/>
        <w:adjustRightInd w:val="0"/>
        <w:spacing w:before="120" w:after="120"/>
        <w:rPr>
          <w:b/>
          <w:bCs/>
          <w:sz w:val="24"/>
          <w:szCs w:val="24"/>
        </w:rPr>
      </w:pPr>
      <w:r w:rsidRPr="00391270">
        <w:rPr>
          <w:b/>
          <w:bCs/>
          <w:sz w:val="24"/>
          <w:szCs w:val="24"/>
        </w:rPr>
        <w:t xml:space="preserve">A mesterképzési </w:t>
      </w:r>
      <w:proofErr w:type="gramStart"/>
      <w:r w:rsidRPr="00391270">
        <w:rPr>
          <w:b/>
          <w:bCs/>
          <w:sz w:val="24"/>
          <w:szCs w:val="24"/>
        </w:rPr>
        <w:t>szak képzési</w:t>
      </w:r>
      <w:proofErr w:type="gramEnd"/>
      <w:r w:rsidRPr="00391270">
        <w:rPr>
          <w:b/>
          <w:bCs/>
          <w:sz w:val="24"/>
          <w:szCs w:val="24"/>
        </w:rPr>
        <w:t xml:space="preserve"> célja, az elsajátítandó szakmai kompetenciák</w:t>
      </w:r>
    </w:p>
    <w:p w:rsidR="00B55696" w:rsidRPr="00391270" w:rsidRDefault="00B55696" w:rsidP="00B55696">
      <w:pPr>
        <w:autoSpaceDE w:val="0"/>
        <w:autoSpaceDN w:val="0"/>
        <w:adjustRightInd w:val="0"/>
        <w:ind w:firstLine="357"/>
        <w:rPr>
          <w:sz w:val="24"/>
          <w:szCs w:val="24"/>
        </w:rPr>
      </w:pPr>
      <w:r w:rsidRPr="00391270">
        <w:rPr>
          <w:sz w:val="24"/>
          <w:szCs w:val="24"/>
        </w:rPr>
        <w:t xml:space="preserve">A cél olyan okleveles geográfusok képzése, akik felkészültek az alapvető természeti, </w:t>
      </w:r>
      <w:bookmarkStart w:id="0" w:name="_GoBack"/>
      <w:bookmarkEnd w:id="0"/>
      <w:r w:rsidRPr="00391270">
        <w:rPr>
          <w:sz w:val="24"/>
          <w:szCs w:val="24"/>
        </w:rPr>
        <w:t>környezeti,</w:t>
      </w:r>
      <w:r>
        <w:rPr>
          <w:sz w:val="24"/>
          <w:szCs w:val="24"/>
        </w:rPr>
        <w:t xml:space="preserve"> </w:t>
      </w:r>
      <w:r w:rsidRPr="00391270">
        <w:rPr>
          <w:sz w:val="24"/>
          <w:szCs w:val="24"/>
        </w:rPr>
        <w:t>technikai és társadalmi jelenségekben megnyilvánuló földrajzi törvényszerűségek megértésére, ezek</w:t>
      </w:r>
      <w:r>
        <w:rPr>
          <w:sz w:val="24"/>
          <w:szCs w:val="24"/>
        </w:rPr>
        <w:t xml:space="preserve"> </w:t>
      </w:r>
      <w:r w:rsidRPr="00391270">
        <w:rPr>
          <w:sz w:val="24"/>
          <w:szCs w:val="24"/>
        </w:rPr>
        <w:t>alapján eredeti szakmai megoldások kifejlesztésére és alkalmazására (beleértve a kutatást is), az</w:t>
      </w:r>
      <w:r>
        <w:rPr>
          <w:sz w:val="24"/>
          <w:szCs w:val="24"/>
        </w:rPr>
        <w:t xml:space="preserve"> </w:t>
      </w:r>
      <w:r w:rsidRPr="00391270">
        <w:rPr>
          <w:sz w:val="24"/>
          <w:szCs w:val="24"/>
        </w:rPr>
        <w:t>eredmények bemutatására, szakértők és alkalmazók felé történő kommunikálására. Megszerzett</w:t>
      </w:r>
      <w:r>
        <w:rPr>
          <w:sz w:val="24"/>
          <w:szCs w:val="24"/>
        </w:rPr>
        <w:t xml:space="preserve"> </w:t>
      </w:r>
      <w:r w:rsidRPr="00391270">
        <w:rPr>
          <w:sz w:val="24"/>
          <w:szCs w:val="24"/>
        </w:rPr>
        <w:t>ismereteik birtokában alkalmasak legyenek tanulmányaik doktori képzés keretében történő</w:t>
      </w:r>
      <w:r>
        <w:rPr>
          <w:sz w:val="24"/>
          <w:szCs w:val="24"/>
        </w:rPr>
        <w:t xml:space="preserve"> </w:t>
      </w:r>
      <w:r w:rsidRPr="00391270">
        <w:rPr>
          <w:sz w:val="24"/>
          <w:szCs w:val="24"/>
        </w:rPr>
        <w:t>folytatására.</w:t>
      </w:r>
    </w:p>
    <w:p w:rsidR="00B55696" w:rsidRPr="00452407" w:rsidRDefault="00B55696" w:rsidP="00B55696">
      <w:pPr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774"/>
      </w:tblGrid>
      <w:tr w:rsidR="00B55696" w:rsidRPr="002306DD" w:rsidTr="00C43843">
        <w:tc>
          <w:tcPr>
            <w:tcW w:w="8774" w:type="dxa"/>
            <w:tcMar>
              <w:top w:w="28" w:type="dxa"/>
              <w:bottom w:w="28" w:type="dxa"/>
            </w:tcMar>
          </w:tcPr>
          <w:p w:rsidR="00B55696" w:rsidRPr="00391270" w:rsidRDefault="00B55696" w:rsidP="00C43843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4"/>
                <w:szCs w:val="24"/>
              </w:rPr>
            </w:pPr>
            <w:r w:rsidRPr="00391270">
              <w:rPr>
                <w:b/>
                <w:bCs/>
                <w:sz w:val="24"/>
                <w:szCs w:val="24"/>
              </w:rPr>
              <w:t>A mesterképzésbe történő belépésnél előzményként elfogadott szakok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sz w:val="24"/>
                <w:szCs w:val="24"/>
              </w:rPr>
              <w:t xml:space="preserve"> Teljes kreditérték beszámításával vehető figyelembe: a földrajz alapképzési szak.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sz w:val="24"/>
                <w:szCs w:val="24"/>
              </w:rPr>
              <w:t>A bemenethez a meghatározott kreditek teljesítésével elsősorban számításba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vehető alapképzési szakok: a földtudomány, a környezettan, a földmérő és földrendező mérnök, a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 xml:space="preserve">tájrendező és kertépítő mérnöki, a környezetmérnöki, a </w:t>
            </w:r>
            <w:proofErr w:type="spellStart"/>
            <w:r w:rsidRPr="00391270">
              <w:rPr>
                <w:sz w:val="24"/>
                <w:szCs w:val="24"/>
              </w:rPr>
              <w:t>turizmusvendéglátás</w:t>
            </w:r>
            <w:proofErr w:type="spellEnd"/>
            <w:r w:rsidRPr="00391270">
              <w:rPr>
                <w:sz w:val="24"/>
                <w:szCs w:val="24"/>
              </w:rPr>
              <w:t>.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Külön </w:t>
            </w:r>
            <w:r w:rsidRPr="00391270">
              <w:rPr>
                <w:sz w:val="24"/>
                <w:szCs w:val="24"/>
              </w:rPr>
              <w:t>meghatározott kreditek teljesítésével vehetők figyelembe továbbá azok az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 xml:space="preserve">alap- vagy mesterfokozatot adó alapképzési szakok, illetve a </w:t>
            </w:r>
            <w:r>
              <w:rPr>
                <w:sz w:val="24"/>
                <w:szCs w:val="24"/>
              </w:rPr>
              <w:t>F</w:t>
            </w:r>
            <w:r w:rsidRPr="00391270">
              <w:rPr>
                <w:sz w:val="24"/>
                <w:szCs w:val="24"/>
              </w:rPr>
              <w:t>elsőoktatás</w:t>
            </w:r>
            <w:r>
              <w:rPr>
                <w:sz w:val="24"/>
                <w:szCs w:val="24"/>
              </w:rPr>
              <w:t>i</w:t>
            </w:r>
            <w:r w:rsidRPr="00391270">
              <w:rPr>
                <w:sz w:val="24"/>
                <w:szCs w:val="24"/>
              </w:rPr>
              <w:t xml:space="preserve"> törvény szerinti főiskolai vagy egyetemi szintű alapképzési szakok, amelyeket a kredit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megállapításának alapjául szolgáló ismeretek összevetése alapján a felsőoktatási intézmény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kreditátviteli bizottsága elfogad.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4"/>
                <w:szCs w:val="24"/>
              </w:rPr>
            </w:pPr>
            <w:r w:rsidRPr="00391270">
              <w:rPr>
                <w:b/>
                <w:bCs/>
                <w:sz w:val="24"/>
                <w:szCs w:val="24"/>
              </w:rPr>
              <w:t xml:space="preserve">A </w:t>
            </w:r>
            <w:r>
              <w:rPr>
                <w:b/>
                <w:bCs/>
                <w:sz w:val="24"/>
                <w:szCs w:val="24"/>
              </w:rPr>
              <w:t>nem teljes kreditértékkel beszámított előképzettség esetén követendő eljárás</w:t>
            </w:r>
            <w:r w:rsidRPr="00391270">
              <w:rPr>
                <w:b/>
                <w:bCs/>
                <w:sz w:val="24"/>
                <w:szCs w:val="24"/>
              </w:rPr>
              <w:t>: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sz w:val="24"/>
                <w:szCs w:val="24"/>
              </w:rPr>
              <w:t>A hallgatónak a kredit megállapítása alapjául szolgáló ismeretek – felsőoktatási törvényben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meghatározott – összevetése alapján elismerhető legyen legalább 65 kredit a korábbi tanulmányai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szerint az alábbi ismeretkörökben:</w:t>
            </w:r>
          </w:p>
          <w:p w:rsidR="00B55696" w:rsidRDefault="00B55696" w:rsidP="00C43843">
            <w:pPr>
              <w:autoSpaceDE w:val="0"/>
              <w:autoSpaceDN w:val="0"/>
              <w:adjustRightInd w:val="0"/>
              <w:spacing w:before="60" w:after="60"/>
              <w:ind w:left="340"/>
              <w:rPr>
                <w:sz w:val="24"/>
                <w:szCs w:val="24"/>
              </w:rPr>
            </w:pPr>
            <w:r w:rsidRPr="00391270">
              <w:rPr>
                <w:rFonts w:eastAsia="OpenSymbol"/>
                <w:sz w:val="24"/>
                <w:szCs w:val="24"/>
              </w:rPr>
              <w:t xml:space="preserve">● </w:t>
            </w:r>
            <w:r w:rsidRPr="00391270">
              <w:rPr>
                <w:sz w:val="24"/>
                <w:szCs w:val="24"/>
              </w:rPr>
              <w:t xml:space="preserve">természettudományos ismeretek (10 kredit): matematika, </w:t>
            </w:r>
            <w:proofErr w:type="spellStart"/>
            <w:r w:rsidRPr="00391270">
              <w:rPr>
                <w:sz w:val="24"/>
                <w:szCs w:val="24"/>
              </w:rPr>
              <w:t>geomatematika</w:t>
            </w:r>
            <w:proofErr w:type="spellEnd"/>
            <w:r w:rsidRPr="00391270">
              <w:rPr>
                <w:sz w:val="24"/>
                <w:szCs w:val="24"/>
              </w:rPr>
              <w:t>, fizika, kémia,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biológia (ökológia), geodézia;</w:t>
            </w:r>
            <w:r>
              <w:rPr>
                <w:sz w:val="24"/>
                <w:szCs w:val="24"/>
              </w:rPr>
              <w:t xml:space="preserve"> </w:t>
            </w:r>
          </w:p>
          <w:p w:rsidR="00B55696" w:rsidRDefault="00B55696" w:rsidP="00C43843">
            <w:pPr>
              <w:autoSpaceDE w:val="0"/>
              <w:autoSpaceDN w:val="0"/>
              <w:adjustRightInd w:val="0"/>
              <w:spacing w:before="60" w:after="60"/>
              <w:ind w:left="340"/>
              <w:rPr>
                <w:sz w:val="24"/>
                <w:szCs w:val="24"/>
              </w:rPr>
            </w:pPr>
            <w:r w:rsidRPr="00391270">
              <w:rPr>
                <w:rFonts w:eastAsia="OpenSymbol"/>
                <w:sz w:val="24"/>
                <w:szCs w:val="24"/>
              </w:rPr>
              <w:t xml:space="preserve">● </w:t>
            </w:r>
            <w:r w:rsidRPr="00391270">
              <w:rPr>
                <w:sz w:val="24"/>
                <w:szCs w:val="24"/>
              </w:rPr>
              <w:t>gazdasági és humán ismeretek (10 kredit): közgazdaságtan, jogi ismeretek, szociológia,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menedzsment, európai uniós ismeretek;</w:t>
            </w:r>
            <w:r>
              <w:rPr>
                <w:sz w:val="24"/>
                <w:szCs w:val="24"/>
              </w:rPr>
              <w:t xml:space="preserve"> 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spacing w:before="60" w:after="60"/>
              <w:ind w:left="340"/>
              <w:rPr>
                <w:sz w:val="24"/>
                <w:szCs w:val="24"/>
              </w:rPr>
            </w:pPr>
            <w:r w:rsidRPr="00391270">
              <w:rPr>
                <w:rFonts w:eastAsia="OpenSymbol"/>
                <w:sz w:val="24"/>
                <w:szCs w:val="24"/>
              </w:rPr>
              <w:t xml:space="preserve">● </w:t>
            </w:r>
            <w:r w:rsidRPr="00391270">
              <w:rPr>
                <w:sz w:val="24"/>
                <w:szCs w:val="24"/>
              </w:rPr>
              <w:t xml:space="preserve">szakmai ismeretek (45 kredit): geomorfológia, </w:t>
            </w:r>
            <w:proofErr w:type="spellStart"/>
            <w:r w:rsidRPr="00391270">
              <w:rPr>
                <w:sz w:val="24"/>
                <w:szCs w:val="24"/>
              </w:rPr>
              <w:t>hidrogeográfia</w:t>
            </w:r>
            <w:proofErr w:type="spellEnd"/>
            <w:r w:rsidRPr="00391270">
              <w:rPr>
                <w:sz w:val="24"/>
                <w:szCs w:val="24"/>
              </w:rPr>
              <w:t xml:space="preserve">, </w:t>
            </w:r>
            <w:proofErr w:type="spellStart"/>
            <w:r w:rsidRPr="00391270">
              <w:rPr>
                <w:sz w:val="24"/>
                <w:szCs w:val="24"/>
              </w:rPr>
              <w:t>biogeográfia</w:t>
            </w:r>
            <w:proofErr w:type="spellEnd"/>
            <w:r w:rsidRPr="00391270">
              <w:rPr>
                <w:sz w:val="24"/>
                <w:szCs w:val="24"/>
              </w:rPr>
              <w:t>, talajföldrajz,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népesség- és településföldrajz, általános gazdasági földrajz, regionális földrajz (Európa,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 xml:space="preserve">Magyarország), </w:t>
            </w:r>
            <w:proofErr w:type="spellStart"/>
            <w:r w:rsidRPr="00391270">
              <w:rPr>
                <w:sz w:val="24"/>
                <w:szCs w:val="24"/>
              </w:rPr>
              <w:t>geoinformatika</w:t>
            </w:r>
            <w:proofErr w:type="spellEnd"/>
            <w:r w:rsidRPr="00391270">
              <w:rPr>
                <w:sz w:val="24"/>
                <w:szCs w:val="24"/>
              </w:rPr>
              <w:t>.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sz w:val="24"/>
                <w:szCs w:val="24"/>
              </w:rPr>
              <w:t>A mesterképzésbe való felvétel feltétele, hogy a felsorolt ismeretkörökben legalább 45 kredittel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rendelkezzen a hallgató. A hiányzó krediteket a mesterfokozat megszerzésére irányuló képzéssel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párhuzamosan, a felvételtől számított két féléven belül, a felsőoktatási intézmény tanulmányi és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vizsgaszabályzatában meghatározottak szerint meg kell szerezni.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391270">
              <w:rPr>
                <w:b/>
                <w:bCs/>
                <w:sz w:val="24"/>
                <w:szCs w:val="24"/>
              </w:rPr>
              <w:lastRenderedPageBreak/>
              <w:t xml:space="preserve">A képzési idő félévekben: </w:t>
            </w:r>
            <w:r w:rsidRPr="00391270">
              <w:rPr>
                <w:sz w:val="24"/>
                <w:szCs w:val="24"/>
              </w:rPr>
              <w:t>4 félév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b/>
                <w:bCs/>
                <w:sz w:val="24"/>
                <w:szCs w:val="24"/>
              </w:rPr>
            </w:pPr>
            <w:r w:rsidRPr="00391270">
              <w:rPr>
                <w:sz w:val="24"/>
                <w:szCs w:val="24"/>
              </w:rPr>
              <w:t xml:space="preserve">A mesterfokozat megszerzéséhez összegyűjtendő kreditek száma: </w:t>
            </w:r>
            <w:r w:rsidRPr="00391270">
              <w:rPr>
                <w:b/>
                <w:bCs/>
                <w:sz w:val="24"/>
                <w:szCs w:val="24"/>
              </w:rPr>
              <w:t>120 kredit;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sz w:val="24"/>
                <w:szCs w:val="24"/>
              </w:rPr>
              <w:t>A szakmai alapozó és törzsanyaghoz rendelhető kreditek száma: 30-36 kredit;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sz w:val="24"/>
                <w:szCs w:val="24"/>
              </w:rPr>
              <w:t>A differenciált szakmai anyaghoz rendelhető kreditek száma: 35-50 kredit;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sz w:val="24"/>
                <w:szCs w:val="24"/>
              </w:rPr>
              <w:t xml:space="preserve">A szabadon választható tantárgyak kreditek minimális </w:t>
            </w:r>
            <w:r>
              <w:rPr>
                <w:sz w:val="24"/>
                <w:szCs w:val="24"/>
              </w:rPr>
              <w:t>kredit-</w:t>
            </w:r>
            <w:r w:rsidRPr="00391270">
              <w:rPr>
                <w:sz w:val="24"/>
                <w:szCs w:val="24"/>
              </w:rPr>
              <w:t>értéke: 6 kredit;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sz w:val="24"/>
                <w:szCs w:val="24"/>
              </w:rPr>
              <w:t>A diplomamunkához rendelt kreditérték: 30 kredit;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sz w:val="24"/>
                <w:szCs w:val="24"/>
              </w:rPr>
              <w:t>A gyakorlati ismeretek aránya: az intézményi tanterv szerint legalább 30 %.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spacing w:before="60" w:after="60"/>
              <w:rPr>
                <w:i/>
                <w:iCs/>
                <w:sz w:val="24"/>
                <w:szCs w:val="24"/>
              </w:rPr>
            </w:pPr>
            <w:r w:rsidRPr="00391270">
              <w:rPr>
                <w:i/>
                <w:iCs/>
                <w:sz w:val="24"/>
                <w:szCs w:val="24"/>
              </w:rPr>
              <w:t>A mesterképzési szakon végzettek ismerik: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rFonts w:eastAsia="OpenSymbol"/>
                <w:sz w:val="24"/>
                <w:szCs w:val="24"/>
              </w:rPr>
              <w:t xml:space="preserve">● </w:t>
            </w:r>
            <w:r w:rsidRPr="00391270">
              <w:rPr>
                <w:sz w:val="24"/>
                <w:szCs w:val="24"/>
              </w:rPr>
              <w:t>a földrajzi terület belső törvényszerűségeit,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rFonts w:eastAsia="OpenSymbol"/>
                <w:sz w:val="24"/>
                <w:szCs w:val="24"/>
              </w:rPr>
              <w:t xml:space="preserve">● </w:t>
            </w:r>
            <w:r w:rsidRPr="00391270">
              <w:rPr>
                <w:sz w:val="24"/>
                <w:szCs w:val="24"/>
              </w:rPr>
              <w:t>az eloszlási mintázatokat,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rFonts w:eastAsia="OpenSymbol"/>
                <w:sz w:val="24"/>
                <w:szCs w:val="24"/>
              </w:rPr>
              <w:t xml:space="preserve">● </w:t>
            </w:r>
            <w:r w:rsidRPr="00391270">
              <w:rPr>
                <w:sz w:val="24"/>
                <w:szCs w:val="24"/>
              </w:rPr>
              <w:t>a grafikai és térképészeti eljárások használatát.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spacing w:before="60" w:after="60"/>
              <w:rPr>
                <w:i/>
                <w:iCs/>
                <w:sz w:val="24"/>
                <w:szCs w:val="24"/>
              </w:rPr>
            </w:pPr>
            <w:r w:rsidRPr="00391270">
              <w:rPr>
                <w:i/>
                <w:iCs/>
                <w:sz w:val="24"/>
                <w:szCs w:val="24"/>
              </w:rPr>
              <w:t>A mesterképzési szakon végzettek alkalmasak: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rFonts w:eastAsia="OpenSymbol"/>
                <w:sz w:val="24"/>
                <w:szCs w:val="24"/>
              </w:rPr>
              <w:t xml:space="preserve">● </w:t>
            </w:r>
            <w:r w:rsidRPr="00391270">
              <w:rPr>
                <w:sz w:val="24"/>
                <w:szCs w:val="24"/>
              </w:rPr>
              <w:t>a földrajz mélyebb összefüggéseinek megértésére,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rFonts w:eastAsia="OpenSymbol"/>
                <w:sz w:val="24"/>
                <w:szCs w:val="24"/>
              </w:rPr>
              <w:t xml:space="preserve">● </w:t>
            </w:r>
            <w:r w:rsidRPr="00391270">
              <w:rPr>
                <w:sz w:val="24"/>
                <w:szCs w:val="24"/>
              </w:rPr>
              <w:t>szakterületükön alternatív megoldások kidolgozására,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rFonts w:eastAsia="OpenSymbol"/>
                <w:sz w:val="24"/>
                <w:szCs w:val="24"/>
              </w:rPr>
              <w:t xml:space="preserve">● </w:t>
            </w:r>
            <w:r w:rsidRPr="00391270">
              <w:rPr>
                <w:sz w:val="24"/>
                <w:szCs w:val="24"/>
              </w:rPr>
              <w:t>a tér, hely és régió elemeinek integrálására,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left="567" w:hanging="210"/>
              <w:rPr>
                <w:sz w:val="24"/>
                <w:szCs w:val="24"/>
              </w:rPr>
            </w:pPr>
            <w:r w:rsidRPr="00391270">
              <w:rPr>
                <w:rFonts w:eastAsia="OpenSymbol"/>
                <w:sz w:val="24"/>
                <w:szCs w:val="24"/>
              </w:rPr>
              <w:t xml:space="preserve">● </w:t>
            </w:r>
            <w:r w:rsidRPr="00391270">
              <w:rPr>
                <w:sz w:val="24"/>
                <w:szCs w:val="24"/>
              </w:rPr>
              <w:t>a társadalom és környezet kölcsönhatásából fakadó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problémák</w:t>
            </w:r>
            <w:r>
              <w:rPr>
                <w:sz w:val="24"/>
                <w:szCs w:val="24"/>
              </w:rPr>
              <w:t xml:space="preserve"> </w:t>
            </w:r>
            <w:r w:rsidRPr="00391270">
              <w:rPr>
                <w:sz w:val="24"/>
                <w:szCs w:val="24"/>
              </w:rPr>
              <w:t>vizsgálatára,</w:t>
            </w:r>
          </w:p>
          <w:p w:rsidR="00B55696" w:rsidRPr="00391270" w:rsidRDefault="00B55696" w:rsidP="00C43843">
            <w:pPr>
              <w:autoSpaceDE w:val="0"/>
              <w:autoSpaceDN w:val="0"/>
              <w:adjustRightInd w:val="0"/>
              <w:ind w:firstLine="357"/>
              <w:rPr>
                <w:sz w:val="24"/>
                <w:szCs w:val="24"/>
              </w:rPr>
            </w:pPr>
            <w:r w:rsidRPr="00391270">
              <w:rPr>
                <w:rFonts w:eastAsia="OpenSymbol"/>
                <w:sz w:val="24"/>
                <w:szCs w:val="24"/>
              </w:rPr>
              <w:t xml:space="preserve">● </w:t>
            </w:r>
            <w:r w:rsidRPr="00391270">
              <w:rPr>
                <w:sz w:val="24"/>
                <w:szCs w:val="24"/>
              </w:rPr>
              <w:t>tájak értékelésére, környezeti, térbeli kölcsönhatások átfogó elemzésére; továbbá</w:t>
            </w:r>
          </w:p>
          <w:p w:rsidR="00B55696" w:rsidRPr="002F3BD5" w:rsidRDefault="00B55696" w:rsidP="00C43843">
            <w:pPr>
              <w:autoSpaceDE w:val="0"/>
              <w:autoSpaceDN w:val="0"/>
              <w:adjustRightInd w:val="0"/>
              <w:ind w:left="697" w:hanging="357"/>
              <w:rPr>
                <w:sz w:val="24"/>
                <w:szCs w:val="24"/>
              </w:rPr>
            </w:pPr>
            <w:r w:rsidRPr="002F3BD5">
              <w:rPr>
                <w:rFonts w:eastAsia="OpenSymbol"/>
                <w:sz w:val="24"/>
                <w:szCs w:val="24"/>
              </w:rPr>
              <w:t xml:space="preserve">● </w:t>
            </w:r>
            <w:r w:rsidRPr="002F3BD5">
              <w:rPr>
                <w:sz w:val="24"/>
                <w:szCs w:val="24"/>
              </w:rPr>
              <w:t>az önállóan gyűjtött adatokat adatbázisrendszerbe rendezni vagy a beszerzett adatokat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F3BD5">
              <w:rPr>
                <w:sz w:val="24"/>
                <w:szCs w:val="24"/>
              </w:rPr>
              <w:t>geoinformatikai</w:t>
            </w:r>
            <w:proofErr w:type="spellEnd"/>
            <w:r w:rsidRPr="002F3BD5">
              <w:rPr>
                <w:sz w:val="24"/>
                <w:szCs w:val="24"/>
              </w:rPr>
              <w:t xml:space="preserve"> alapon rendszerezni,</w:t>
            </w:r>
          </w:p>
          <w:p w:rsidR="00B55696" w:rsidRPr="002F3BD5" w:rsidRDefault="00B55696" w:rsidP="00C43843">
            <w:pPr>
              <w:autoSpaceDE w:val="0"/>
              <w:autoSpaceDN w:val="0"/>
              <w:adjustRightInd w:val="0"/>
              <w:ind w:left="697" w:hanging="357"/>
              <w:rPr>
                <w:sz w:val="24"/>
                <w:szCs w:val="24"/>
              </w:rPr>
            </w:pPr>
            <w:r w:rsidRPr="002F3BD5">
              <w:rPr>
                <w:rFonts w:eastAsia="OpenSymbol"/>
                <w:sz w:val="24"/>
                <w:szCs w:val="24"/>
              </w:rPr>
              <w:t xml:space="preserve">● </w:t>
            </w:r>
            <w:r w:rsidRPr="002F3BD5">
              <w:rPr>
                <w:sz w:val="24"/>
                <w:szCs w:val="24"/>
              </w:rPr>
              <w:t>a rendezett adatbázisokban műveletek végzésére és modellalkotásra,</w:t>
            </w:r>
          </w:p>
          <w:p w:rsidR="00B55696" w:rsidRPr="002F3BD5" w:rsidRDefault="00B55696" w:rsidP="00C43843">
            <w:pPr>
              <w:autoSpaceDE w:val="0"/>
              <w:autoSpaceDN w:val="0"/>
              <w:adjustRightInd w:val="0"/>
              <w:ind w:left="697" w:hanging="357"/>
              <w:rPr>
                <w:sz w:val="24"/>
                <w:szCs w:val="24"/>
              </w:rPr>
            </w:pPr>
            <w:r w:rsidRPr="002F3BD5">
              <w:rPr>
                <w:rFonts w:eastAsia="OpenSymbol"/>
                <w:sz w:val="24"/>
                <w:szCs w:val="24"/>
              </w:rPr>
              <w:t xml:space="preserve">● </w:t>
            </w:r>
            <w:r w:rsidRPr="002F3BD5">
              <w:rPr>
                <w:sz w:val="24"/>
                <w:szCs w:val="24"/>
              </w:rPr>
              <w:t>az adatgyűjtés, elemzés, megjelenítés szempontjából a legismertebb térinformatikai</w:t>
            </w:r>
            <w:r>
              <w:rPr>
                <w:sz w:val="24"/>
                <w:szCs w:val="24"/>
              </w:rPr>
              <w:t xml:space="preserve"> </w:t>
            </w:r>
            <w:r w:rsidRPr="002F3BD5">
              <w:rPr>
                <w:sz w:val="24"/>
                <w:szCs w:val="24"/>
              </w:rPr>
              <w:t>szoftverek (</w:t>
            </w:r>
            <w:proofErr w:type="spellStart"/>
            <w:r w:rsidRPr="002F3BD5">
              <w:rPr>
                <w:sz w:val="24"/>
                <w:szCs w:val="24"/>
              </w:rPr>
              <w:t>ArcGIS</w:t>
            </w:r>
            <w:proofErr w:type="spellEnd"/>
            <w:r w:rsidRPr="002F3BD5">
              <w:rPr>
                <w:sz w:val="24"/>
                <w:szCs w:val="24"/>
              </w:rPr>
              <w:t xml:space="preserve">, </w:t>
            </w:r>
            <w:proofErr w:type="spellStart"/>
            <w:r w:rsidRPr="002F3BD5">
              <w:rPr>
                <w:sz w:val="24"/>
                <w:szCs w:val="24"/>
              </w:rPr>
              <w:t>Idrisi</w:t>
            </w:r>
            <w:proofErr w:type="spellEnd"/>
            <w:r w:rsidRPr="002F3BD5">
              <w:rPr>
                <w:sz w:val="24"/>
                <w:szCs w:val="24"/>
              </w:rPr>
              <w:t xml:space="preserve">, AutoCAD, </w:t>
            </w:r>
            <w:proofErr w:type="spellStart"/>
            <w:r w:rsidRPr="002F3BD5">
              <w:rPr>
                <w:sz w:val="24"/>
                <w:szCs w:val="24"/>
              </w:rPr>
              <w:t>Grass</w:t>
            </w:r>
            <w:proofErr w:type="spellEnd"/>
            <w:r w:rsidRPr="002F3BD5">
              <w:rPr>
                <w:sz w:val="24"/>
                <w:szCs w:val="24"/>
              </w:rPr>
              <w:t xml:space="preserve"> stb.) használatára;</w:t>
            </w:r>
          </w:p>
          <w:p w:rsidR="00B55696" w:rsidRPr="002F3BD5" w:rsidRDefault="00B55696" w:rsidP="00C4384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Az </w:t>
            </w:r>
            <w:r w:rsidRPr="002F3BD5">
              <w:rPr>
                <w:i/>
                <w:iCs/>
                <w:sz w:val="24"/>
                <w:szCs w:val="24"/>
              </w:rPr>
              <w:t>erőforrás- és kockázatelemző szakirányon szerzett ismeretek birtokában képes:</w:t>
            </w:r>
          </w:p>
          <w:p w:rsidR="00B55696" w:rsidRPr="002F3BD5" w:rsidRDefault="00B55696" w:rsidP="00B55696">
            <w:pPr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OpenSymbol"/>
                <w:sz w:val="24"/>
                <w:szCs w:val="24"/>
              </w:rPr>
            </w:pPr>
            <w:r w:rsidRPr="002F3BD5">
              <w:rPr>
                <w:rFonts w:eastAsia="OpenSymbol"/>
                <w:sz w:val="24"/>
                <w:szCs w:val="24"/>
              </w:rPr>
              <w:t>erőforrás- és a kockázat adatok gyűjtésének irányítására, rendszerezésére és feldolgozására,</w:t>
            </w:r>
          </w:p>
          <w:p w:rsidR="00B55696" w:rsidRPr="002F3BD5" w:rsidRDefault="00B55696" w:rsidP="00B55696">
            <w:pPr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OpenSymbol"/>
                <w:sz w:val="24"/>
                <w:szCs w:val="24"/>
              </w:rPr>
            </w:pPr>
            <w:r w:rsidRPr="002F3BD5">
              <w:rPr>
                <w:rFonts w:eastAsia="OpenSymbol"/>
                <w:sz w:val="24"/>
                <w:szCs w:val="24"/>
              </w:rPr>
              <w:t>a tudományos alapok és a társadalmi feltételek együttes alkotó felhasználására,</w:t>
            </w:r>
          </w:p>
          <w:p w:rsidR="00B55696" w:rsidRPr="002F3BD5" w:rsidRDefault="00B55696" w:rsidP="00B55696">
            <w:pPr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OpenSymbol"/>
                <w:sz w:val="24"/>
                <w:szCs w:val="24"/>
              </w:rPr>
            </w:pPr>
            <w:r w:rsidRPr="002F3BD5">
              <w:rPr>
                <w:rFonts w:eastAsia="OpenSymbol"/>
                <w:sz w:val="24"/>
                <w:szCs w:val="24"/>
              </w:rPr>
              <w:t>folyamatos nemzetközi tájékozódásra és a helyi sajátosságokon alapuló adaptációra,</w:t>
            </w:r>
          </w:p>
          <w:p w:rsidR="00B55696" w:rsidRPr="002F3BD5" w:rsidRDefault="00B55696" w:rsidP="00B55696">
            <w:pPr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OpenSymbol"/>
                <w:sz w:val="24"/>
                <w:szCs w:val="24"/>
              </w:rPr>
            </w:pPr>
            <w:r w:rsidRPr="002F3BD5">
              <w:rPr>
                <w:rFonts w:eastAsia="OpenSymbol"/>
                <w:sz w:val="24"/>
                <w:szCs w:val="24"/>
              </w:rPr>
              <w:t>eligazodásra a különböző szintű hatóságok és szervezetek közötti munkamegosztásban,</w:t>
            </w:r>
          </w:p>
          <w:p w:rsidR="00B55696" w:rsidRPr="002F3BD5" w:rsidRDefault="00B55696" w:rsidP="00B55696">
            <w:pPr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OpenSymbol"/>
                <w:sz w:val="24"/>
                <w:szCs w:val="24"/>
              </w:rPr>
            </w:pPr>
            <w:r w:rsidRPr="002F3BD5">
              <w:rPr>
                <w:rFonts w:eastAsia="OpenSymbol"/>
                <w:sz w:val="24"/>
                <w:szCs w:val="24"/>
              </w:rPr>
              <w:t>az erőforrások kiaknázásának és a kockázatok mérséklésének gyakorlati irányítására.</w:t>
            </w:r>
          </w:p>
          <w:p w:rsidR="00B55696" w:rsidRPr="002F3BD5" w:rsidRDefault="00B55696" w:rsidP="00C4384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60"/>
              <w:rPr>
                <w:i/>
                <w:iCs/>
                <w:sz w:val="24"/>
                <w:szCs w:val="24"/>
              </w:rPr>
            </w:pPr>
            <w:r w:rsidRPr="002F3B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 w:rsidRPr="002F3BD5">
              <w:rPr>
                <w:i/>
                <w:iCs/>
                <w:sz w:val="24"/>
                <w:szCs w:val="24"/>
              </w:rPr>
              <w:t>régiómenedzser szakirányon szerzett ismeretek birtokában képes:</w:t>
            </w:r>
          </w:p>
          <w:p w:rsidR="00B55696" w:rsidRPr="002F3BD5" w:rsidRDefault="00B55696" w:rsidP="00B55696">
            <w:pPr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OpenSymbol"/>
                <w:sz w:val="24"/>
                <w:szCs w:val="24"/>
              </w:rPr>
            </w:pPr>
            <w:r w:rsidRPr="002F3BD5">
              <w:rPr>
                <w:rFonts w:eastAsia="OpenSymbol"/>
                <w:sz w:val="24"/>
                <w:szCs w:val="24"/>
              </w:rPr>
              <w:t xml:space="preserve">a pontos területfejlesztési helyzetfeltárás elkészítésére (geológiai, talaj- és természetföldrajzi, </w:t>
            </w:r>
            <w:r>
              <w:rPr>
                <w:rFonts w:eastAsia="OpenSymbol"/>
                <w:sz w:val="24"/>
                <w:szCs w:val="24"/>
              </w:rPr>
              <w:t xml:space="preserve">környezeti, </w:t>
            </w:r>
            <w:r w:rsidRPr="002F3BD5">
              <w:rPr>
                <w:rFonts w:eastAsia="OpenSymbol"/>
                <w:sz w:val="24"/>
                <w:szCs w:val="24"/>
              </w:rPr>
              <w:t>társadalmi, gazdasági helyzetfeltárás a fontosabb telepítő tényezők, könnyen áttekinthető, tematikus térképes ábrázolásával).</w:t>
            </w:r>
          </w:p>
          <w:p w:rsidR="00B55696" w:rsidRPr="002F3BD5" w:rsidRDefault="00B55696" w:rsidP="00B55696">
            <w:pPr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OpenSymbol"/>
                <w:sz w:val="24"/>
                <w:szCs w:val="24"/>
              </w:rPr>
            </w:pPr>
            <w:r w:rsidRPr="002F3BD5">
              <w:rPr>
                <w:rFonts w:eastAsia="OpenSymbol"/>
                <w:sz w:val="24"/>
                <w:szCs w:val="24"/>
              </w:rPr>
              <w:t>megalapozott operatív és térségi marketing stratégiák felállítására, pénzügyi tervezéssel, pályázati lehetőségek hozzárendelésével.</w:t>
            </w:r>
          </w:p>
          <w:p w:rsidR="00B55696" w:rsidRPr="002F3BD5" w:rsidRDefault="00B55696" w:rsidP="00B55696">
            <w:pPr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OpenSymbol"/>
                <w:sz w:val="24"/>
                <w:szCs w:val="24"/>
              </w:rPr>
            </w:pPr>
            <w:r w:rsidRPr="002F3BD5">
              <w:rPr>
                <w:rFonts w:eastAsia="OpenSymbol"/>
                <w:sz w:val="24"/>
                <w:szCs w:val="24"/>
              </w:rPr>
              <w:t>települési, és térségi projektek lebonyolítására, a helyi szereplők összefogására, számukra szakmai, technikai segítség nyújtására (pl. helyi klaszterek kialakítása; helyi termékek fejlesztése, termékpálya-menedzsment elindítása; térségek közti együttműködések menedzselése).</w:t>
            </w:r>
          </w:p>
          <w:p w:rsidR="00B55696" w:rsidRPr="002F3BD5" w:rsidRDefault="00B55696" w:rsidP="00B55696">
            <w:pPr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OpenSymbol"/>
                <w:sz w:val="24"/>
                <w:szCs w:val="24"/>
              </w:rPr>
            </w:pPr>
            <w:proofErr w:type="spellStart"/>
            <w:r w:rsidRPr="002F3BD5">
              <w:rPr>
                <w:rFonts w:eastAsia="OpenSymbol"/>
                <w:sz w:val="24"/>
                <w:szCs w:val="24"/>
              </w:rPr>
              <w:t>workshopok</w:t>
            </w:r>
            <w:proofErr w:type="spellEnd"/>
            <w:r w:rsidRPr="002F3BD5">
              <w:rPr>
                <w:rFonts w:eastAsia="OpenSymbol"/>
                <w:sz w:val="24"/>
                <w:szCs w:val="24"/>
              </w:rPr>
              <w:t xml:space="preserve">, lakossági tájékoztatók, térségi rendezvények (kiállítások, vásárok, szakmai, befektetői tájékoztatók, konferenciák) szervezésére és </w:t>
            </w:r>
            <w:proofErr w:type="spellStart"/>
            <w:r w:rsidRPr="002F3BD5">
              <w:rPr>
                <w:rFonts w:eastAsia="OpenSymbol"/>
                <w:sz w:val="24"/>
                <w:szCs w:val="24"/>
              </w:rPr>
              <w:t>moderációjára</w:t>
            </w:r>
            <w:proofErr w:type="spellEnd"/>
            <w:r w:rsidRPr="002F3BD5">
              <w:rPr>
                <w:rFonts w:eastAsia="OpenSymbol"/>
                <w:sz w:val="24"/>
                <w:szCs w:val="24"/>
              </w:rPr>
              <w:t xml:space="preserve">. </w:t>
            </w:r>
          </w:p>
          <w:p w:rsidR="00B55696" w:rsidRPr="007E3EB1" w:rsidRDefault="00B55696" w:rsidP="00B55696">
            <w:pPr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OpenSymbol"/>
                <w:sz w:val="24"/>
                <w:szCs w:val="24"/>
              </w:rPr>
            </w:pPr>
            <w:r w:rsidRPr="002F3BD5">
              <w:rPr>
                <w:rFonts w:eastAsia="OpenSymbol"/>
                <w:sz w:val="24"/>
                <w:szCs w:val="24"/>
              </w:rPr>
              <w:t>a helyi tudásbázis dinamizálására, térségi kutatások hálózatba szervezésére, az oktatási és kutatóintézetekkel való együttműködések kialakítására</w:t>
            </w:r>
            <w:r>
              <w:rPr>
                <w:rFonts w:eastAsia="OpenSymbol"/>
                <w:sz w:val="24"/>
                <w:szCs w:val="24"/>
              </w:rPr>
              <w:t>.</w:t>
            </w:r>
          </w:p>
        </w:tc>
      </w:tr>
    </w:tbl>
    <w:p w:rsidR="00B55696" w:rsidRPr="00E12A51" w:rsidRDefault="00B55696" w:rsidP="00B55696">
      <w:pPr>
        <w:jc w:val="both"/>
        <w:rPr>
          <w:sz w:val="4"/>
          <w:szCs w:val="4"/>
        </w:rPr>
      </w:pPr>
      <w:bookmarkStart w:id="1" w:name="_Toc413986910"/>
      <w:bookmarkStart w:id="2" w:name="_Toc413987321"/>
      <w:bookmarkStart w:id="3" w:name="_Toc413988274"/>
      <w:bookmarkStart w:id="4" w:name="_Toc414068028"/>
    </w:p>
    <w:bookmarkEnd w:id="1"/>
    <w:bookmarkEnd w:id="2"/>
    <w:bookmarkEnd w:id="3"/>
    <w:bookmarkEnd w:id="4"/>
    <w:p w:rsidR="000C2F3A" w:rsidRDefault="000C2F3A"/>
    <w:sectPr w:rsidR="000C2F3A" w:rsidSect="000C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Cmsor2"/>
      <w:lvlText w:val="%1.%2"/>
      <w:legacy w:legacy="1" w:legacySpace="567" w:legacyIndent="0"/>
      <w:lvlJc w:val="left"/>
      <w:rPr>
        <w:rFonts w:cs="Times New Roman"/>
      </w:rPr>
    </w:lvl>
    <w:lvl w:ilvl="2">
      <w:start w:val="1"/>
      <w:numFmt w:val="decimal"/>
      <w:pStyle w:val="Cmsor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Cmsor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Cmsor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Cmsor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Cmsor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Cmsor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Cmsor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>
    <w:nsid w:val="44A81DBF"/>
    <w:multiLevelType w:val="hybridMultilevel"/>
    <w:tmpl w:val="0E646438"/>
    <w:lvl w:ilvl="0" w:tplc="F940C12A">
      <w:start w:val="3300"/>
      <w:numFmt w:val="bullet"/>
      <w:lvlText w:val="-"/>
      <w:lvlJc w:val="left"/>
      <w:pPr>
        <w:ind w:left="3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0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">
    <w:nsid w:val="75493D65"/>
    <w:multiLevelType w:val="hybridMultilevel"/>
    <w:tmpl w:val="2F869C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96"/>
    <w:rsid w:val="000C2F3A"/>
    <w:rsid w:val="005A1E99"/>
    <w:rsid w:val="00A061A6"/>
    <w:rsid w:val="00B5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E9998-2168-4372-9EF6-EAFD4E82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569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5569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B5569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B55696"/>
    <w:pPr>
      <w:keepNext/>
      <w:numPr>
        <w:ilvl w:val="2"/>
        <w:numId w:val="1"/>
      </w:numPr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B55696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B55696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Cmsor6">
    <w:name w:val="heading 6"/>
    <w:basedOn w:val="Norml"/>
    <w:next w:val="Norml"/>
    <w:link w:val="Cmsor6Char"/>
    <w:qFormat/>
    <w:rsid w:val="00B55696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B55696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link w:val="Cmsor8Char"/>
    <w:qFormat/>
    <w:rsid w:val="00B55696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Cmsor9">
    <w:name w:val="heading 9"/>
    <w:basedOn w:val="Norml"/>
    <w:next w:val="Norml"/>
    <w:link w:val="Cmsor9Char"/>
    <w:qFormat/>
    <w:rsid w:val="00B556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5696"/>
    <w:rPr>
      <w:rFonts w:ascii="Arial" w:eastAsia="Times New Roman" w:hAnsi="Arial" w:cs="Arial"/>
      <w:b/>
      <w:bCs/>
      <w:kern w:val="28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B55696"/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B5569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B55696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B55696"/>
    <w:rPr>
      <w:rFonts w:ascii="Arial" w:eastAsia="Times New Roman" w:hAnsi="Arial" w:cs="Arial"/>
      <w:lang w:eastAsia="hu-HU"/>
    </w:rPr>
  </w:style>
  <w:style w:type="character" w:customStyle="1" w:styleId="Cmsor6Char">
    <w:name w:val="Címsor 6 Char"/>
    <w:basedOn w:val="Bekezdsalapbettpusa"/>
    <w:link w:val="Cmsor6"/>
    <w:rsid w:val="00B55696"/>
    <w:rPr>
      <w:rFonts w:ascii="Arial" w:eastAsia="Times New Roman" w:hAnsi="Arial" w:cs="Arial"/>
      <w:i/>
      <w:iCs/>
      <w:lang w:eastAsia="hu-HU"/>
    </w:rPr>
  </w:style>
  <w:style w:type="character" w:customStyle="1" w:styleId="Cmsor7Char">
    <w:name w:val="Címsor 7 Char"/>
    <w:basedOn w:val="Bekezdsalapbettpusa"/>
    <w:link w:val="Cmsor7"/>
    <w:rsid w:val="00B55696"/>
    <w:rPr>
      <w:rFonts w:ascii="Arial" w:eastAsia="Times New Roman" w:hAnsi="Arial" w:cs="Arial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B55696"/>
    <w:rPr>
      <w:rFonts w:ascii="Arial" w:eastAsia="Times New Roman" w:hAnsi="Arial" w:cs="Arial"/>
      <w:i/>
      <w:iCs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B55696"/>
    <w:rPr>
      <w:rFonts w:ascii="Arial" w:eastAsia="Times New Roman" w:hAnsi="Arial" w:cs="Arial"/>
      <w:i/>
      <w:iCs/>
      <w:sz w:val="18"/>
      <w:szCs w:val="18"/>
      <w:lang w:eastAsia="hu-HU"/>
    </w:rPr>
  </w:style>
  <w:style w:type="paragraph" w:styleId="lfej">
    <w:name w:val="header"/>
    <w:basedOn w:val="Norml"/>
    <w:link w:val="lfejChar"/>
    <w:rsid w:val="00B55696"/>
    <w:pPr>
      <w:tabs>
        <w:tab w:val="center" w:pos="4320"/>
        <w:tab w:val="right" w:pos="8640"/>
      </w:tabs>
    </w:pPr>
    <w:rPr>
      <w:rFonts w:ascii="TimesCE" w:hAnsi="TimesCE" w:cs="TimesCE"/>
      <w:sz w:val="24"/>
      <w:szCs w:val="24"/>
      <w:lang w:val="en-GB"/>
    </w:rPr>
  </w:style>
  <w:style w:type="character" w:customStyle="1" w:styleId="lfejChar">
    <w:name w:val="Élőfej Char"/>
    <w:basedOn w:val="Bekezdsalapbettpusa"/>
    <w:link w:val="lfej"/>
    <w:rsid w:val="00B55696"/>
    <w:rPr>
      <w:rFonts w:ascii="TimesCE" w:eastAsia="Times New Roman" w:hAnsi="TimesCE" w:cs="TimesCE"/>
      <w:sz w:val="24"/>
      <w:szCs w:val="24"/>
      <w:lang w:val="en-GB" w:eastAsia="hu-HU"/>
    </w:rPr>
  </w:style>
  <w:style w:type="paragraph" w:styleId="Lbjegyzetszveg">
    <w:name w:val="footnote text"/>
    <w:basedOn w:val="Norml"/>
    <w:link w:val="LbjegyzetszvegChar"/>
    <w:semiHidden/>
    <w:rsid w:val="00B55696"/>
  </w:style>
  <w:style w:type="character" w:customStyle="1" w:styleId="LbjegyzetszvegChar">
    <w:name w:val="Lábjegyzetszöveg Char"/>
    <w:basedOn w:val="Bekezdsalapbettpusa"/>
    <w:link w:val="Lbjegyzetszveg"/>
    <w:semiHidden/>
    <w:rsid w:val="00B5569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AU</cp:lastModifiedBy>
  <cp:revision>2</cp:revision>
  <dcterms:created xsi:type="dcterms:W3CDTF">2015-05-02T17:19:00Z</dcterms:created>
  <dcterms:modified xsi:type="dcterms:W3CDTF">2015-05-02T17:19:00Z</dcterms:modified>
</cp:coreProperties>
</file>